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0E67" w14:textId="12F66DE5" w:rsidR="000E7B76" w:rsidRDefault="009B5A29" w:rsidP="000E7B7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Saver’s Credit &amp; </w:t>
      </w:r>
      <w:r w:rsidR="000E7B76" w:rsidRPr="003D5D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Saver’s Match Bibliography</w:t>
      </w:r>
    </w:p>
    <w:p w14:paraId="697EE4A1" w14:textId="14AAEF31" w:rsidR="000E7B76" w:rsidRPr="003D5DBB" w:rsidRDefault="009B5A29" w:rsidP="000E7B7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As of </w:t>
      </w:r>
      <w:r w:rsidR="00B76F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September 17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2024</w:t>
      </w:r>
    </w:p>
    <w:p w14:paraId="03168724" w14:textId="77777777" w:rsidR="000E7B76" w:rsidRPr="003D5DBB" w:rsidRDefault="000E7B76" w:rsidP="007F2E4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64991FC" w14:textId="4B05CC1C" w:rsidR="008D4B4D" w:rsidRPr="00784D92" w:rsidRDefault="00784D92" w:rsidP="00194A60">
      <w:pPr>
        <w:pStyle w:val="ListParagraph"/>
        <w:numPr>
          <w:ilvl w:val="0"/>
          <w:numId w:val="3"/>
        </w:numPr>
        <w:spacing w:after="220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“The Saver’s Match Provision in SECURE 2.0: How We Can Put Thousands of Dollars into Retirement Savings Accounts for People with Low Income,” Aspen Institute Financial Security Program, August 2024. </w:t>
      </w:r>
      <w:r w:rsidRPr="00784D92">
        <w:rPr>
          <w:rFonts w:asciiTheme="minorHAnsi" w:hAnsiTheme="minorHAnsi" w:cstheme="minorHAnsi"/>
          <w:i/>
          <w:iCs/>
          <w:sz w:val="22"/>
          <w:szCs w:val="22"/>
        </w:rPr>
        <w:t>Note: This has not yet been posted on the Aspen Institute’s website.</w:t>
      </w:r>
    </w:p>
    <w:p w14:paraId="64BF7E68" w14:textId="0862EDCD" w:rsidR="00194A60" w:rsidRPr="00194A60" w:rsidRDefault="00194A60" w:rsidP="00194A60">
      <w:pPr>
        <w:pStyle w:val="ListParagraph"/>
        <w:numPr>
          <w:ilvl w:val="0"/>
          <w:numId w:val="3"/>
        </w:numPr>
        <w:spacing w:after="2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Jack VanDerhei, “The Saver’s Match Could Be a Game Changer for Retirement Savings – Especially Black Women,” Morningstar, June 18, 2024, </w:t>
      </w:r>
      <w:hyperlink r:id="rId7" w:history="1">
        <w:r w:rsidRPr="00853858">
          <w:rPr>
            <w:rStyle w:val="Hyperlink"/>
            <w:rFonts w:asciiTheme="minorHAnsi" w:hAnsiTheme="minorHAnsi" w:cstheme="minorHAnsi"/>
            <w:sz w:val="22"/>
            <w:szCs w:val="22"/>
          </w:rPr>
          <w:t>https://www.morningstar.com/retirement/savers-match-could-be-game-changer-retirement-savingsespecially-black-women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70BF06" w14:textId="19426C3C" w:rsidR="003D5DBB" w:rsidRDefault="003D5DBB" w:rsidP="00672214">
      <w:pPr>
        <w:pStyle w:val="ListParagraph"/>
        <w:numPr>
          <w:ilvl w:val="0"/>
          <w:numId w:val="3"/>
        </w:numPr>
        <w:spacing w:after="220"/>
        <w:contextualSpacing w:val="0"/>
        <w:rPr>
          <w:rFonts w:asciiTheme="minorHAnsi" w:hAnsiTheme="minorHAnsi" w:cstheme="minorHAnsi"/>
          <w:sz w:val="22"/>
          <w:szCs w:val="22"/>
        </w:rPr>
      </w:pPr>
      <w:r w:rsidRPr="00D05858">
        <w:rPr>
          <w:rFonts w:asciiTheme="minorHAnsi" w:hAnsiTheme="minorHAnsi" w:cstheme="minorHAnsi"/>
          <w:color w:val="000000"/>
          <w:sz w:val="22"/>
          <w:szCs w:val="22"/>
        </w:rPr>
        <w:t>Jack VanDerhei,</w:t>
      </w:r>
      <w:r w:rsidR="00D54F7C" w:rsidRPr="00D54F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54F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  <w:r w:rsidR="00194A60" w:rsidRPr="00194A60">
        <w:rPr>
          <w:rFonts w:asciiTheme="minorHAnsi" w:hAnsiTheme="minorHAnsi" w:cstheme="minorHAnsi"/>
          <w:color w:val="000000"/>
          <w:sz w:val="22"/>
          <w:szCs w:val="22"/>
        </w:rPr>
        <w:t>How Effective Might the Saver’s Match Be in Mitigating Race/Gender Disparities in 401(k) Plans</w:t>
      </w:r>
      <w:r w:rsidR="00D54F7C" w:rsidRPr="00D0585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54F7C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D54F7C" w:rsidRPr="00D058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4A60">
        <w:rPr>
          <w:rFonts w:asciiTheme="minorHAnsi" w:hAnsiTheme="minorHAnsi" w:cstheme="minorHAnsi"/>
          <w:color w:val="000000"/>
          <w:sz w:val="22"/>
          <w:szCs w:val="22"/>
        </w:rPr>
        <w:t>Collaborative for Equitable Retirement Savings</w:t>
      </w:r>
      <w:r w:rsidRPr="00D05858">
        <w:rPr>
          <w:rFonts w:asciiTheme="minorHAnsi" w:hAnsiTheme="minorHAnsi" w:cstheme="minorHAnsi"/>
          <w:color w:val="000000"/>
          <w:sz w:val="22"/>
          <w:szCs w:val="22"/>
        </w:rPr>
        <w:t xml:space="preserve">, May 2024, </w:t>
      </w:r>
      <w:hyperlink r:id="rId8" w:history="1">
        <w:r w:rsidRPr="00D05858">
          <w:rPr>
            <w:rStyle w:val="Hyperlink"/>
            <w:rFonts w:asciiTheme="minorHAnsi" w:hAnsiTheme="minorHAnsi" w:cstheme="minorHAnsi"/>
            <w:sz w:val="22"/>
            <w:szCs w:val="22"/>
          </w:rPr>
          <w:t>https://www.morningstar.com/business/insights/research/cfers-savers-match?utm_source=partners&amp;utm_medium=email&amp;utm_campaign=cfers-savers-match</w:t>
        </w:r>
      </w:hyperlink>
      <w:r w:rsidRPr="00D058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E4FA4" w14:textId="1DADC8E0" w:rsidR="008D4B4D" w:rsidRDefault="008D4B4D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Warren Cormier and Ricki Ingalls, “</w:t>
      </w:r>
      <w:r w:rsidRPr="008D4B4D">
        <w:rPr>
          <w:rFonts w:asciiTheme="minorHAnsi" w:hAnsiTheme="minorHAnsi" w:cstheme="minorHAnsi"/>
          <w:sz w:val="22"/>
          <w:szCs w:val="22"/>
        </w:rPr>
        <w:t>How the Saver's Match Could Promote Financial Inclusion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8D4B4D">
        <w:rPr>
          <w:rFonts w:asciiTheme="minorHAnsi" w:hAnsiTheme="minorHAnsi" w:cstheme="minorHAnsi"/>
          <w:sz w:val="22"/>
          <w:szCs w:val="22"/>
        </w:rPr>
        <w:t xml:space="preserve"> A Survey-Driven Analysis of the Saver’s Match Program</w:t>
      </w:r>
      <w:r>
        <w:rPr>
          <w:rFonts w:asciiTheme="minorHAnsi" w:hAnsiTheme="minorHAnsi" w:cstheme="minorHAnsi"/>
          <w:sz w:val="22"/>
          <w:szCs w:val="22"/>
        </w:rPr>
        <w:t xml:space="preserve">,” Boston Research Technologies, Retirement Clearinghouse, April 2024, </w:t>
      </w:r>
      <w:hyperlink r:id="rId9" w:history="1">
        <w:r w:rsidRPr="005F0ACC">
          <w:rPr>
            <w:rStyle w:val="Hyperlink"/>
            <w:rFonts w:asciiTheme="minorHAnsi" w:hAnsiTheme="minorHAnsi" w:cstheme="minorHAnsi"/>
            <w:sz w:val="22"/>
            <w:szCs w:val="22"/>
          </w:rPr>
          <w:t>https://mail.rch1.com/hubfs/Savers%20Match%20Survey%20Analysis/How_the_Savers_Match_Could_Promote_Financial_Inclusion_040824.pdf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7E91D9" w14:textId="5F725972" w:rsidR="007141AD" w:rsidRDefault="00D54F7C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7141AD" w:rsidRPr="00D54F7C">
        <w:rPr>
          <w:rFonts w:asciiTheme="minorHAnsi" w:hAnsiTheme="minorHAnsi" w:cstheme="minorHAnsi"/>
          <w:sz w:val="22"/>
          <w:szCs w:val="22"/>
        </w:rPr>
        <w:t>The Saver’s Match Could Benefit Millions of Low- to Moderate-Income Americans</w:t>
      </w:r>
      <w:r w:rsidR="007141AD" w:rsidRPr="003D5DB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7141AD" w:rsidRPr="003D5DBB">
        <w:rPr>
          <w:rFonts w:asciiTheme="minorHAnsi" w:hAnsiTheme="minorHAnsi" w:cstheme="minorHAnsi"/>
          <w:sz w:val="22"/>
          <w:szCs w:val="22"/>
        </w:rPr>
        <w:t xml:space="preserve"> Pew Research Center, April 12, 2024,  </w:t>
      </w:r>
      <w:hyperlink r:id="rId10" w:history="1">
        <w:r w:rsidR="007141AD" w:rsidRPr="003D5DBB">
          <w:rPr>
            <w:rStyle w:val="Hyperlink"/>
            <w:rFonts w:asciiTheme="minorHAnsi" w:hAnsiTheme="minorHAnsi" w:cstheme="minorHAnsi"/>
            <w:sz w:val="22"/>
            <w:szCs w:val="22"/>
          </w:rPr>
          <w:t>https://www.pewtrusts.org/en/research-and-analysis/fact-sheets/2024/04/federal-savers-match-could-benefit-millions-of-low-to-moderate-income-americans</w:t>
        </w:r>
      </w:hyperlink>
      <w:r w:rsidR="007141AD" w:rsidRPr="003D5D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916104" w14:textId="67E5655C" w:rsidR="006961F7" w:rsidRPr="003D5DBB" w:rsidRDefault="006961F7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Catherine Collinson and Heidi Cho, “Workplace Transformations: Employer Business Practices and Benefit Offerings,” Transamerica Institute, March 2024, see page 76 </w:t>
      </w:r>
      <w:hyperlink r:id="rId11" w:history="1">
        <w:r w:rsidRPr="005E1B9E">
          <w:rPr>
            <w:rStyle w:val="Hyperlink"/>
            <w:rFonts w:asciiTheme="minorHAnsi" w:hAnsiTheme="minorHAnsi" w:cstheme="minorHAnsi"/>
            <w:sz w:val="22"/>
            <w:szCs w:val="22"/>
          </w:rPr>
          <w:t>https://www.transamericainstitute.org/docs/default-source/research/employers-benefit-offerings/workplace-transformations-employer-business-practices-and-benefit-offerings-report-march-2024.pdf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480050" w14:textId="24E8176F" w:rsidR="005E14D3" w:rsidRPr="00C96BAD" w:rsidRDefault="00D54F7C" w:rsidP="00672214">
      <w:pPr>
        <w:numPr>
          <w:ilvl w:val="0"/>
          <w:numId w:val="1"/>
        </w:numPr>
        <w:spacing w:after="22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Craig Copeland, “</w:t>
      </w:r>
      <w:r w:rsidR="005E14D3" w:rsidRPr="00D54F7C">
        <w:rPr>
          <w:rFonts w:asciiTheme="minorHAnsi" w:hAnsiTheme="minorHAnsi" w:cstheme="minorHAnsi"/>
          <w:color w:val="333333"/>
          <w:sz w:val="22"/>
          <w:szCs w:val="22"/>
        </w:rPr>
        <w:t>Sizing the Market for the Saver’s Match</w:t>
      </w:r>
      <w:r w:rsidR="005E14D3" w:rsidRPr="003D5DBB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="005E14D3" w:rsidRPr="003D5DB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E14D3" w:rsidRPr="00C96BAD">
        <w:rPr>
          <w:rFonts w:asciiTheme="minorHAnsi" w:hAnsiTheme="minorHAnsi" w:cstheme="minorHAnsi"/>
          <w:color w:val="333333"/>
          <w:sz w:val="22"/>
          <w:szCs w:val="22"/>
        </w:rPr>
        <w:t>Employee Benefit Research Institute, Feb. 29, 2024, </w:t>
      </w:r>
      <w:hyperlink r:id="rId12" w:history="1">
        <w:r w:rsidR="005E14D3" w:rsidRPr="00C96BAD">
          <w:rPr>
            <w:rStyle w:val="Hyperlink"/>
            <w:rFonts w:asciiTheme="minorHAnsi" w:hAnsiTheme="minorHAnsi" w:cstheme="minorHAnsi"/>
            <w:sz w:val="22"/>
            <w:szCs w:val="22"/>
          </w:rPr>
          <w:t>https://www.ebri.org/content/sizing-the-market-for-the-saver-s-match</w:t>
        </w:r>
      </w:hyperlink>
    </w:p>
    <w:p w14:paraId="0B40D302" w14:textId="34DB38C7" w:rsidR="005E14D3" w:rsidRPr="00C96BAD" w:rsidRDefault="00D54F7C" w:rsidP="00672214">
      <w:pPr>
        <w:numPr>
          <w:ilvl w:val="0"/>
          <w:numId w:val="1"/>
        </w:numPr>
        <w:spacing w:after="22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“</w:t>
      </w:r>
      <w:r w:rsidR="005E14D3" w:rsidRPr="00D54F7C">
        <w:rPr>
          <w:rFonts w:asciiTheme="minorHAnsi" w:hAnsiTheme="minorHAnsi" w:cstheme="minorHAnsi"/>
          <w:color w:val="333333"/>
          <w:sz w:val="22"/>
          <w:szCs w:val="22"/>
        </w:rPr>
        <w:t>General Explanation of Tax Legislation Enacted in the 117th Congress</w:t>
      </w:r>
      <w:r w:rsidR="005E14D3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="005E14D3">
        <w:rPr>
          <w:rFonts w:asciiTheme="minorHAnsi" w:hAnsiTheme="minorHAnsi" w:cstheme="minorHAnsi"/>
          <w:color w:val="333333"/>
          <w:sz w:val="22"/>
          <w:szCs w:val="22"/>
        </w:rPr>
        <w:t xml:space="preserve"> Joint Committee on Taxation, D</w:t>
      </w:r>
      <w:r w:rsidR="005E14D3" w:rsidRPr="00C96BAD">
        <w:rPr>
          <w:rFonts w:asciiTheme="minorHAnsi" w:hAnsiTheme="minorHAnsi" w:cstheme="minorHAnsi"/>
          <w:color w:val="333333"/>
          <w:sz w:val="22"/>
          <w:szCs w:val="22"/>
        </w:rPr>
        <w:t>ecember 2023,</w:t>
      </w:r>
      <w:r w:rsidR="0069689E">
        <w:rPr>
          <w:rFonts w:asciiTheme="minorHAnsi" w:hAnsiTheme="minorHAnsi" w:cstheme="minorHAnsi"/>
          <w:color w:val="333333"/>
          <w:sz w:val="22"/>
          <w:szCs w:val="22"/>
        </w:rPr>
        <w:t xml:space="preserve"> see pages 301 to 309,</w:t>
      </w:r>
      <w:r w:rsidR="005E14D3" w:rsidRPr="00C96BAD">
        <w:rPr>
          <w:rFonts w:asciiTheme="minorHAnsi" w:hAnsiTheme="minorHAnsi" w:cstheme="minorHAnsi"/>
          <w:color w:val="333333"/>
          <w:sz w:val="22"/>
          <w:szCs w:val="22"/>
        </w:rPr>
        <w:t> </w:t>
      </w:r>
      <w:hyperlink r:id="rId13" w:history="1">
        <w:r w:rsidR="009B5A29" w:rsidRPr="00853858">
          <w:rPr>
            <w:rStyle w:val="Hyperlink"/>
            <w:rFonts w:asciiTheme="minorHAnsi" w:hAnsiTheme="minorHAnsi" w:cstheme="minorHAnsi"/>
            <w:sz w:val="22"/>
            <w:szCs w:val="22"/>
          </w:rPr>
          <w:t>https://www.jct.gov/getattachment/90655774-4645-4790-9d20-4874ce634234/JCS-1-23.pdf</w:t>
        </w:r>
      </w:hyperlink>
      <w:r w:rsidR="009B5A2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9B5A29" w:rsidRPr="00C96BA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50EBB450" w14:textId="548A9088" w:rsidR="005E14D3" w:rsidRDefault="00D54F7C" w:rsidP="00672214">
      <w:pPr>
        <w:numPr>
          <w:ilvl w:val="0"/>
          <w:numId w:val="1"/>
        </w:numPr>
        <w:spacing w:after="220"/>
        <w:rPr>
          <w:rFonts w:asciiTheme="minorHAnsi" w:hAnsiTheme="minorHAnsi" w:cstheme="minorHAnsi"/>
          <w:color w:val="333333"/>
          <w:sz w:val="22"/>
          <w:szCs w:val="22"/>
        </w:rPr>
      </w:pPr>
      <w:r w:rsidRPr="00C96BAD">
        <w:rPr>
          <w:rFonts w:asciiTheme="minorHAnsi" w:hAnsiTheme="minorHAnsi" w:cstheme="minorHAnsi"/>
          <w:color w:val="333333"/>
          <w:sz w:val="22"/>
          <w:szCs w:val="22"/>
        </w:rPr>
        <w:t>B</w:t>
      </w:r>
      <w:r>
        <w:rPr>
          <w:rFonts w:asciiTheme="minorHAnsi" w:hAnsiTheme="minorHAnsi" w:cstheme="minorHAnsi"/>
          <w:color w:val="333333"/>
          <w:sz w:val="22"/>
          <w:szCs w:val="22"/>
        </w:rPr>
        <w:t>rendan</w:t>
      </w:r>
      <w:r w:rsidRPr="00C96BAD">
        <w:rPr>
          <w:rFonts w:asciiTheme="minorHAnsi" w:hAnsiTheme="minorHAnsi" w:cstheme="minorHAnsi"/>
          <w:color w:val="333333"/>
          <w:sz w:val="22"/>
          <w:szCs w:val="22"/>
        </w:rPr>
        <w:t xml:space="preserve"> McDermott, </w:t>
      </w:r>
      <w:r>
        <w:rPr>
          <w:rFonts w:asciiTheme="minorHAnsi" w:hAnsiTheme="minorHAnsi" w:cstheme="minorHAnsi"/>
          <w:color w:val="333333"/>
          <w:sz w:val="22"/>
          <w:szCs w:val="22"/>
        </w:rPr>
        <w:t>“</w:t>
      </w:r>
      <w:r w:rsidR="005E14D3" w:rsidRPr="00D54F7C">
        <w:rPr>
          <w:rFonts w:asciiTheme="minorHAnsi" w:hAnsiTheme="minorHAnsi" w:cstheme="minorHAnsi"/>
          <w:color w:val="333333"/>
          <w:sz w:val="22"/>
          <w:szCs w:val="22"/>
        </w:rPr>
        <w:t>The Retirement Savings Contribution Credit and the Saver’s Match</w:t>
      </w:r>
      <w:r w:rsidR="005E14D3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="005E14D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E14D3" w:rsidRPr="00C96BAD">
        <w:rPr>
          <w:rFonts w:asciiTheme="minorHAnsi" w:hAnsiTheme="minorHAnsi" w:cstheme="minorHAnsi"/>
          <w:color w:val="333333"/>
          <w:sz w:val="22"/>
          <w:szCs w:val="22"/>
        </w:rPr>
        <w:t>U.S. Congressional Research Service, Dec. 15, 2023,</w:t>
      </w:r>
      <w:r w:rsidR="009B5A2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14" w:history="1">
        <w:r w:rsidR="009B5A29" w:rsidRPr="00853858">
          <w:rPr>
            <w:rStyle w:val="Hyperlink"/>
            <w:rFonts w:asciiTheme="minorHAnsi" w:hAnsiTheme="minorHAnsi" w:cstheme="minorHAnsi"/>
            <w:sz w:val="22"/>
            <w:szCs w:val="22"/>
          </w:rPr>
          <w:t>https://crsreports.congress.gov/product/pdf/IF/IF11159</w:t>
        </w:r>
      </w:hyperlink>
      <w:r w:rsidR="009B5A29">
        <w:rPr>
          <w:rFonts w:asciiTheme="minorHAnsi" w:hAnsiTheme="minorHAnsi" w:cstheme="minorHAnsi"/>
          <w:color w:val="333333"/>
          <w:sz w:val="22"/>
          <w:szCs w:val="22"/>
        </w:rPr>
        <w:t xml:space="preserve">  </w:t>
      </w:r>
    </w:p>
    <w:p w14:paraId="1DAA9FBE" w14:textId="34F27645" w:rsidR="002F6611" w:rsidRDefault="002F6611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“A Compendium of Demographic Influences on Retirement Security,” nonprofit Transamerica Center for Retirement Studies, December 2023, see pages </w:t>
      </w:r>
      <w:r w:rsidR="005D05A9">
        <w:rPr>
          <w:rFonts w:asciiTheme="minorHAnsi" w:hAnsiTheme="minorHAnsi" w:cstheme="minorHAnsi"/>
          <w:sz w:val="22"/>
          <w:szCs w:val="22"/>
        </w:rPr>
        <w:t>37, 68, 98, 129, 159, and 189,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hyperlink r:id="rId15" w:history="1">
        <w:r w:rsidRPr="00853858">
          <w:rPr>
            <w:rStyle w:val="Hyperlink"/>
            <w:rFonts w:asciiTheme="minorHAnsi" w:hAnsiTheme="minorHAnsi" w:cstheme="minorHAnsi"/>
            <w:sz w:val="22"/>
            <w:szCs w:val="22"/>
          </w:rPr>
          <w:t>https://www.transamericainstitute.org/docs/library/research/compendium-demographic-influences-retirement-security-research-report-december-2023.pdf?sfvrsn=92b27b9d_5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C84C64" w14:textId="0C43FC62" w:rsidR="009B5A29" w:rsidRDefault="009B5A29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“The Cost of Doing Nothing: Federal and State Impacts of Insufficient Retirement Savings,” </w:t>
      </w:r>
      <w:proofErr w:type="spellStart"/>
      <w:r>
        <w:rPr>
          <w:rFonts w:asciiTheme="minorHAnsi" w:hAnsiTheme="minorHAnsi" w:cstheme="minorHAnsi"/>
          <w:sz w:val="22"/>
          <w:szCs w:val="22"/>
        </w:rPr>
        <w:t>Econsult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Solutions</w:t>
      </w:r>
      <w:r w:rsidR="007C58FB">
        <w:rPr>
          <w:rFonts w:asciiTheme="minorHAnsi" w:hAnsiTheme="minorHAnsi" w:cstheme="minorHAnsi"/>
          <w:sz w:val="22"/>
          <w:szCs w:val="22"/>
        </w:rPr>
        <w:t xml:space="preserve"> Inc.</w:t>
      </w:r>
      <w:r>
        <w:rPr>
          <w:rFonts w:asciiTheme="minorHAnsi" w:hAnsiTheme="minorHAnsi" w:cstheme="minorHAnsi"/>
          <w:sz w:val="22"/>
          <w:szCs w:val="22"/>
        </w:rPr>
        <w:t xml:space="preserve"> submitted to Pew Charitable Trusts, May 2023, </w:t>
      </w:r>
      <w:hyperlink r:id="rId16" w:history="1">
        <w:r w:rsidR="007C58FB" w:rsidRPr="00853858">
          <w:rPr>
            <w:rStyle w:val="Hyperlink"/>
            <w:rFonts w:asciiTheme="minorHAnsi" w:hAnsiTheme="minorHAnsi" w:cstheme="minorHAnsi"/>
            <w:sz w:val="22"/>
            <w:szCs w:val="22"/>
          </w:rPr>
          <w:t>https://econsultsolutions.com/wp-content/uploads/2023/05/Impacts_of_Insufficient_Retirement_Savings_May2023.pdf</w:t>
        </w:r>
      </w:hyperlink>
      <w:r w:rsidR="007C58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46942F" w14:textId="5BCC6A27" w:rsidR="005E4AB3" w:rsidRPr="005E4AB3" w:rsidRDefault="00D54F7C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hAnsiTheme="minorHAnsi" w:cstheme="minorHAnsi"/>
          <w:sz w:val="22"/>
          <w:szCs w:val="22"/>
        </w:rPr>
      </w:pPr>
      <w:r w:rsidRPr="00D54F7C">
        <w:rPr>
          <w:rFonts w:asciiTheme="minorHAnsi" w:hAnsiTheme="minorHAnsi" w:cstheme="minorHAnsi"/>
          <w:sz w:val="22"/>
          <w:szCs w:val="22"/>
        </w:rPr>
        <w:lastRenderedPageBreak/>
        <w:t xml:space="preserve">Catherine Collinson, 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5E4AB3" w:rsidRPr="00D54F7C">
        <w:rPr>
          <w:rFonts w:asciiTheme="minorHAnsi" w:hAnsiTheme="minorHAnsi" w:cstheme="minorHAnsi"/>
          <w:sz w:val="22"/>
          <w:szCs w:val="22"/>
        </w:rPr>
        <w:t>The Saver’s Credit: A Tax Credit That Pays to Save for Retirement,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5D05A9">
        <w:rPr>
          <w:rFonts w:asciiTheme="minorHAnsi" w:hAnsiTheme="minorHAnsi" w:cstheme="minorHAnsi"/>
          <w:sz w:val="22"/>
          <w:szCs w:val="22"/>
        </w:rPr>
        <w:t xml:space="preserve"> </w:t>
      </w:r>
      <w:r w:rsidR="005E4AB3">
        <w:rPr>
          <w:rFonts w:asciiTheme="minorHAnsi" w:hAnsiTheme="minorHAnsi" w:cstheme="minorHAnsi"/>
          <w:sz w:val="22"/>
          <w:szCs w:val="22"/>
        </w:rPr>
        <w:t xml:space="preserve">Transamerica </w:t>
      </w:r>
      <w:r w:rsidR="005D05A9">
        <w:rPr>
          <w:rFonts w:asciiTheme="minorHAnsi" w:hAnsiTheme="minorHAnsi" w:cstheme="minorHAnsi"/>
          <w:sz w:val="22"/>
          <w:szCs w:val="22"/>
        </w:rPr>
        <w:t>Center for Retirement Studies</w:t>
      </w:r>
      <w:r w:rsidR="005E4AB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May </w:t>
      </w:r>
      <w:r w:rsidR="005E4AB3">
        <w:rPr>
          <w:rFonts w:asciiTheme="minorHAnsi" w:hAnsiTheme="minorHAnsi" w:cstheme="minorHAnsi"/>
          <w:sz w:val="22"/>
          <w:szCs w:val="22"/>
        </w:rPr>
        <w:t xml:space="preserve">2022, </w:t>
      </w:r>
      <w:hyperlink r:id="rId17" w:history="1">
        <w:r w:rsidRPr="00211ECF">
          <w:rPr>
            <w:rStyle w:val="Hyperlink"/>
            <w:rFonts w:asciiTheme="minorHAnsi" w:hAnsiTheme="minorHAnsi" w:cstheme="minorHAnsi"/>
            <w:sz w:val="22"/>
            <w:szCs w:val="22"/>
          </w:rPr>
          <w:t>https://www.transamericainstitute.org/research/publications/details/the-savers-credit-a-tax-credit-that-pays-to-save-for-retirement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FB6E7F" w14:textId="35FD5C38" w:rsidR="0071525A" w:rsidRPr="0071525A" w:rsidRDefault="0071525A" w:rsidP="00AD2DB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hAnsiTheme="minorHAnsi" w:cstheme="minorHAnsi"/>
          <w:sz w:val="22"/>
          <w:szCs w:val="22"/>
        </w:rPr>
      </w:pPr>
      <w:r w:rsidRPr="0071525A">
        <w:rPr>
          <w:rFonts w:asciiTheme="minorHAnsi" w:hAnsiTheme="minorHAnsi" w:cstheme="minorHAnsi"/>
          <w:sz w:val="22"/>
          <w:szCs w:val="22"/>
        </w:rPr>
        <w:t>Angela M. Antonelli, “What are the Potential Benefits of Universal Access to Retirement Savings?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525A">
        <w:rPr>
          <w:rFonts w:asciiTheme="minorHAnsi" w:hAnsiTheme="minorHAnsi" w:cstheme="minorHAnsi"/>
          <w:sz w:val="22"/>
          <w:szCs w:val="22"/>
        </w:rPr>
        <w:t>An Analysis of National Options to Expand Coverag</w:t>
      </w:r>
      <w:r>
        <w:rPr>
          <w:rFonts w:asciiTheme="minorHAnsi" w:hAnsiTheme="minorHAnsi" w:cstheme="minorHAnsi"/>
          <w:sz w:val="22"/>
          <w:szCs w:val="22"/>
        </w:rPr>
        <w:t xml:space="preserve">e,” Georgetown University, Center for Retirement Initiatives </w:t>
      </w:r>
      <w:r w:rsidR="00F668B3">
        <w:rPr>
          <w:rFonts w:asciiTheme="minorHAnsi" w:hAnsiTheme="minorHAnsi" w:cstheme="minorHAnsi"/>
          <w:sz w:val="22"/>
          <w:szCs w:val="22"/>
        </w:rPr>
        <w:t xml:space="preserve">in conjunction with </w:t>
      </w:r>
      <w:proofErr w:type="spellStart"/>
      <w:r w:rsidR="00F668B3">
        <w:rPr>
          <w:rFonts w:asciiTheme="minorHAnsi" w:hAnsiTheme="minorHAnsi" w:cstheme="minorHAnsi"/>
          <w:sz w:val="22"/>
          <w:szCs w:val="22"/>
        </w:rPr>
        <w:t>Econsult</w:t>
      </w:r>
      <w:proofErr w:type="spellEnd"/>
      <w:r w:rsidR="00F668B3">
        <w:rPr>
          <w:rFonts w:asciiTheme="minorHAnsi" w:hAnsiTheme="minorHAnsi" w:cstheme="minorHAnsi"/>
          <w:sz w:val="22"/>
          <w:szCs w:val="22"/>
        </w:rPr>
        <w:t xml:space="preserve"> Solutions Inc., </w:t>
      </w:r>
      <w:r>
        <w:rPr>
          <w:rFonts w:asciiTheme="minorHAnsi" w:hAnsiTheme="minorHAnsi" w:cstheme="minorHAnsi"/>
          <w:sz w:val="22"/>
          <w:szCs w:val="22"/>
        </w:rPr>
        <w:t xml:space="preserve">Policy Report 2020-02, December 2020, </w:t>
      </w:r>
      <w:hyperlink r:id="rId18" w:history="1">
        <w:r w:rsidRPr="00853858">
          <w:rPr>
            <w:rStyle w:val="Hyperlink"/>
            <w:rFonts w:asciiTheme="minorHAnsi" w:hAnsiTheme="minorHAnsi" w:cstheme="minorHAnsi"/>
            <w:sz w:val="22"/>
            <w:szCs w:val="22"/>
          </w:rPr>
          <w:t>https://cri.georgetown.edu/wp-content/uploads/2020/12/CRI-ESI-Report-Benefits_of_Universal_Access_FINAL.pdf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40ADE1" w14:textId="09BFB7D0" w:rsidR="00ED3200" w:rsidRDefault="00D54F7C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hAnsiTheme="minorHAnsi" w:cstheme="minorHAnsi"/>
          <w:sz w:val="22"/>
          <w:szCs w:val="22"/>
        </w:rPr>
      </w:pPr>
      <w:r w:rsidRPr="003D5DBB">
        <w:rPr>
          <w:rFonts w:asciiTheme="minorHAnsi" w:hAnsiTheme="minorHAnsi" w:cstheme="minorHAnsi"/>
          <w:sz w:val="22"/>
          <w:szCs w:val="22"/>
        </w:rPr>
        <w:t>Jennifer Erin</w:t>
      </w:r>
      <w:r>
        <w:rPr>
          <w:rFonts w:asciiTheme="minorHAnsi" w:hAnsiTheme="minorHAnsi" w:cstheme="minorHAnsi"/>
          <w:sz w:val="22"/>
          <w:szCs w:val="22"/>
        </w:rPr>
        <w:t xml:space="preserve"> Brown</w:t>
      </w:r>
      <w:r w:rsidR="0080336F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David John, “</w:t>
      </w:r>
      <w:r w:rsidR="00ED3200" w:rsidRPr="00D54F7C">
        <w:rPr>
          <w:rFonts w:asciiTheme="minorHAnsi" w:hAnsiTheme="minorHAnsi" w:cstheme="minorHAnsi"/>
          <w:sz w:val="22"/>
          <w:szCs w:val="22"/>
        </w:rPr>
        <w:t>Improving the Saver’s Credit for Low- and Moderate-Income Workers</w:t>
      </w:r>
      <w:r>
        <w:rPr>
          <w:rFonts w:asciiTheme="minorHAnsi" w:hAnsiTheme="minorHAnsi" w:cstheme="minorHAnsi"/>
          <w:sz w:val="22"/>
          <w:szCs w:val="22"/>
        </w:rPr>
        <w:t>,”</w:t>
      </w:r>
      <w:r w:rsidR="00ED3200" w:rsidRPr="003D5D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3200" w:rsidRPr="003D5DBB">
        <w:rPr>
          <w:rFonts w:asciiTheme="minorHAnsi" w:hAnsiTheme="minorHAnsi" w:cstheme="minorHAnsi"/>
          <w:sz w:val="22"/>
          <w:szCs w:val="22"/>
        </w:rPr>
        <w:t xml:space="preserve">National Institute for Retirement Security, September 2017. </w:t>
      </w:r>
      <w:hyperlink r:id="rId19" w:history="1">
        <w:r w:rsidR="00ED3200" w:rsidRPr="003D5DBB">
          <w:rPr>
            <w:rStyle w:val="Hyperlink"/>
            <w:rFonts w:asciiTheme="minorHAnsi" w:hAnsiTheme="minorHAnsi" w:cstheme="minorHAnsi"/>
            <w:sz w:val="22"/>
            <w:szCs w:val="22"/>
          </w:rPr>
          <w:t>https://www.nirsonline.org/wp-content/uploads/2017/11/final_savers_credit_report_sept_2017.pdf</w:t>
        </w:r>
      </w:hyperlink>
      <w:r w:rsidR="00ED3200" w:rsidRPr="003D5D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ECF321" w14:textId="3F09557D" w:rsidR="005E06B6" w:rsidRPr="003D5DBB" w:rsidRDefault="005E06B6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Alicia H. Munnell and Anqi Chen, “Could the Saver’s Credit Enhance State Coverage </w:t>
      </w:r>
      <w:r w:rsidR="00E43C71">
        <w:rPr>
          <w:rFonts w:asciiTheme="minorHAnsi" w:hAnsiTheme="minorHAnsi" w:cstheme="minorHAnsi"/>
          <w:sz w:val="22"/>
          <w:szCs w:val="22"/>
        </w:rPr>
        <w:t>Initiatives</w:t>
      </w:r>
      <w:r>
        <w:rPr>
          <w:rFonts w:asciiTheme="minorHAnsi" w:hAnsiTheme="minorHAnsi" w:cstheme="minorHAnsi"/>
          <w:sz w:val="22"/>
          <w:szCs w:val="22"/>
        </w:rPr>
        <w:t>?,” Center for Retirement Research at Boston College</w:t>
      </w:r>
      <w:r w:rsidR="004A0E1A">
        <w:rPr>
          <w:rFonts w:asciiTheme="minorHAnsi" w:hAnsiTheme="minorHAnsi" w:cstheme="minorHAnsi"/>
          <w:sz w:val="22"/>
          <w:szCs w:val="22"/>
        </w:rPr>
        <w:t xml:space="preserve">, April 2016, </w:t>
      </w:r>
      <w:hyperlink r:id="rId20" w:history="1">
        <w:r w:rsidR="004A0E1A" w:rsidRPr="00853858">
          <w:rPr>
            <w:rStyle w:val="Hyperlink"/>
            <w:rFonts w:asciiTheme="minorHAnsi" w:hAnsiTheme="minorHAnsi" w:cstheme="minorHAnsi"/>
            <w:sz w:val="22"/>
            <w:szCs w:val="22"/>
          </w:rPr>
          <w:t>https://crr.bc.edu/wp-content/uploads/2016/04/IB_16-7.pdf</w:t>
        </w:r>
      </w:hyperlink>
      <w:r w:rsidR="004A0E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FB9A68" w14:textId="154A752B" w:rsidR="00672214" w:rsidRPr="00E43C71" w:rsidRDefault="00672214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43C71">
        <w:rPr>
          <w:rFonts w:asciiTheme="minorHAnsi" w:hAnsiTheme="minorHAnsi" w:cstheme="minorHAnsi"/>
          <w:sz w:val="22"/>
          <w:szCs w:val="22"/>
        </w:rPr>
        <w:t xml:space="preserve">Esther Duflo, William G. Gale, Jeffrey Liebman, Peter R. Orszag, and Emmanuel Saez, “Savings Incentives for Low- and Moderate-Income Families in the United States: Why Is the Saver’s Credit Not More </w:t>
      </w:r>
      <w:proofErr w:type="gramStart"/>
      <w:r w:rsidRPr="00E43C71">
        <w:rPr>
          <w:rFonts w:asciiTheme="minorHAnsi" w:hAnsiTheme="minorHAnsi" w:cstheme="minorHAnsi"/>
          <w:sz w:val="22"/>
          <w:szCs w:val="22"/>
        </w:rPr>
        <w:t>Effective?,</w:t>
      </w:r>
      <w:proofErr w:type="gramEnd"/>
      <w:r w:rsidRPr="00E43C71">
        <w:rPr>
          <w:rFonts w:asciiTheme="minorHAnsi" w:hAnsiTheme="minorHAnsi" w:cstheme="minorHAnsi"/>
          <w:sz w:val="22"/>
          <w:szCs w:val="22"/>
        </w:rPr>
        <w:t xml:space="preserve">” </w:t>
      </w:r>
      <w:r w:rsidR="004A0E1A" w:rsidRPr="00E43C71">
        <w:rPr>
          <w:rFonts w:asciiTheme="minorHAnsi" w:hAnsiTheme="minorHAnsi" w:cstheme="minorHAnsi"/>
          <w:i/>
          <w:iCs/>
          <w:sz w:val="22"/>
          <w:szCs w:val="22"/>
        </w:rPr>
        <w:t>Journal of the European Economic Association</w:t>
      </w:r>
      <w:r w:rsidR="004A0E1A" w:rsidRPr="00E43C71">
        <w:rPr>
          <w:rFonts w:asciiTheme="minorHAnsi" w:hAnsiTheme="minorHAnsi" w:cstheme="minorHAnsi"/>
          <w:sz w:val="22"/>
          <w:szCs w:val="22"/>
        </w:rPr>
        <w:t xml:space="preserve">, </w:t>
      </w:r>
      <w:r w:rsidRPr="00E43C71">
        <w:rPr>
          <w:rFonts w:asciiTheme="minorHAnsi" w:hAnsiTheme="minorHAnsi" w:cstheme="minorHAnsi"/>
          <w:sz w:val="22"/>
          <w:szCs w:val="22"/>
        </w:rPr>
        <w:t xml:space="preserve">April – May 2007. </w:t>
      </w:r>
      <w:hyperlink r:id="rId21" w:history="1">
        <w:r w:rsidRPr="00E43C71">
          <w:rPr>
            <w:rStyle w:val="Hyperlink"/>
            <w:rFonts w:asciiTheme="minorHAnsi" w:hAnsiTheme="minorHAnsi" w:cstheme="minorHAnsi"/>
            <w:sz w:val="22"/>
            <w:szCs w:val="22"/>
          </w:rPr>
          <w:t>https://eml.berkeley.edu/~saez/duflo-gale-liebman-orszag-saezJEEA07savercredit.pdf</w:t>
        </w:r>
      </w:hyperlink>
    </w:p>
    <w:p w14:paraId="437BEB40" w14:textId="77777777" w:rsidR="007C58FB" w:rsidRPr="00672214" w:rsidRDefault="007C58FB" w:rsidP="007C58FB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William G. Gale, J. Mark Iwry, and Spencer Walters, </w:t>
      </w:r>
      <w:r w:rsidRPr="00672214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“Retirement Saving for Middle-and Lower-Income Households: The Pension Protection Act of 2006 and the Unfinished Agenda</w:t>
      </w:r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,</w:t>
      </w:r>
      <w:r w:rsidRPr="00672214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” Retirement Security Project</w:t>
      </w:r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,</w:t>
      </w:r>
      <w:r w:rsidRPr="00672214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Policy Brief No. 2007-1. April 2007.</w:t>
      </w:r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</w:t>
      </w:r>
      <w:hyperlink r:id="rId22" w:history="1">
        <w:r w:rsidRPr="00853858">
          <w:rPr>
            <w:rStyle w:val="Hyperlink"/>
            <w:rFonts w:asciiTheme="minorHAnsi" w:eastAsiaTheme="minorHAnsi" w:hAnsiTheme="minorHAnsi" w:cstheme="minorHAnsi"/>
            <w:sz w:val="22"/>
            <w:szCs w:val="22"/>
            <w14:ligatures w14:val="standardContextual"/>
          </w:rPr>
          <w:t>https://www.brookings.edu/articles/retirement-saving-for-middle-and-lower-income-households-the-pension-protection-act-of-2006-and-the-unfinished-agenda/</w:t>
        </w:r>
      </w:hyperlink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</w:t>
      </w:r>
    </w:p>
    <w:p w14:paraId="1D50D9DA" w14:textId="7860093F" w:rsidR="00672214" w:rsidRDefault="00672214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William G. Gale, J. Mark Iwry, Peter R. Orszag, </w:t>
      </w:r>
      <w:r w:rsidRPr="00672214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“The Potential Effects of Retirement Security Project Proposals on Private and National Saving: Exploratory Calculations. Retirement Security Project Policy Brief No. 2006-2. Nov. 2006.</w:t>
      </w:r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</w:t>
      </w:r>
      <w:hyperlink r:id="rId23" w:history="1">
        <w:r w:rsidRPr="00853858">
          <w:rPr>
            <w:rStyle w:val="Hyperlink"/>
            <w:rFonts w:asciiTheme="minorHAnsi" w:eastAsiaTheme="minorHAnsi" w:hAnsiTheme="minorHAnsi" w:cstheme="minorHAnsi"/>
            <w:sz w:val="22"/>
            <w:szCs w:val="22"/>
            <w14:ligatures w14:val="standardContextual"/>
          </w:rPr>
          <w:t>https://www.brookings.edu/articles/effects-of-retirement-security-project-proposals-on-private-and-national-saving-exploratory-calculations/</w:t>
        </w:r>
      </w:hyperlink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</w:t>
      </w:r>
    </w:p>
    <w:p w14:paraId="5FA90C83" w14:textId="3AFC049D" w:rsidR="00672214" w:rsidRPr="00672214" w:rsidRDefault="00672214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  <w:r w:rsidRPr="00672214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J. Mark Iwry, Peter R. Orszag, and William G. Gale, “The Saver’s Credit: Expanding Retirement Savings for Middle and Lower Income Americans,” Retirement Security Project Policy Brief 2005-2.  March 2005. </w:t>
      </w:r>
      <w:hyperlink r:id="rId24" w:history="1">
        <w:r w:rsidR="00CF3480" w:rsidRPr="00853858">
          <w:rPr>
            <w:rStyle w:val="Hyperlink"/>
            <w:rFonts w:asciiTheme="minorHAnsi" w:eastAsiaTheme="minorHAnsi" w:hAnsiTheme="minorHAnsi" w:cstheme="minorHAnsi"/>
            <w:sz w:val="22"/>
            <w:szCs w:val="22"/>
            <w14:ligatures w14:val="standardContextual"/>
          </w:rPr>
          <w:t>https://www.brookings.edu/wp-content/uploads/2016/06/20050310orszag.pdf</w:t>
        </w:r>
      </w:hyperlink>
      <w:r w:rsidR="00CF3480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</w:t>
      </w:r>
    </w:p>
    <w:p w14:paraId="781303E1" w14:textId="74D0690F" w:rsidR="00672214" w:rsidRDefault="0069689E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William G. Gale, J. Mark Iwry, and Peter R. Orszag, </w:t>
      </w:r>
      <w:r w:rsidR="00672214" w:rsidRPr="00672214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“Improving the Saver’s Credit: Issues and Options. The Brookings Institution, </w:t>
      </w:r>
      <w:r w:rsidR="00672214" w:rsidRPr="0069689E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Policy Brief</w:t>
      </w:r>
      <w:r w:rsidR="00672214" w:rsidRPr="00672214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No. 135. July 2004. </w:t>
      </w:r>
      <w:r w:rsidR="005D05A9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</w:t>
      </w:r>
      <w:hyperlink r:id="rId25" w:history="1">
        <w:r w:rsidR="005D05A9" w:rsidRPr="00FD1EEF">
          <w:rPr>
            <w:rStyle w:val="Hyperlink"/>
            <w:rFonts w:asciiTheme="minorHAnsi" w:eastAsiaTheme="minorHAnsi" w:hAnsiTheme="minorHAnsi" w:cstheme="minorHAnsi"/>
            <w:sz w:val="22"/>
            <w:szCs w:val="22"/>
            <w14:ligatures w14:val="standardContextual"/>
          </w:rPr>
          <w:t>https://www.brookings.edu/wp-content/uploads/2016/06/pb135.pdf</w:t>
        </w:r>
      </w:hyperlink>
      <w:r w:rsidR="005D05A9" w:rsidRPr="00FD1EEF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</w:t>
      </w:r>
    </w:p>
    <w:p w14:paraId="1AA8442A" w14:textId="63AEC44A" w:rsidR="00FD1EEF" w:rsidRPr="00672214" w:rsidRDefault="00FD1EEF" w:rsidP="00FD1EEF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William G. Gale, J. Mark Iwry, and Peter R. Orszag, </w:t>
      </w:r>
      <w:r w:rsidRPr="00672214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“The Saver’s Credit: Issues and Options</w:t>
      </w:r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,”</w:t>
      </w:r>
      <w:r w:rsidR="0069689E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Tax Analysts,</w:t>
      </w:r>
      <w:r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</w:t>
      </w:r>
      <w:r w:rsidRPr="00FD1EEF">
        <w:rPr>
          <w:rFonts w:asciiTheme="minorHAnsi" w:eastAsiaTheme="minorHAnsi" w:hAnsiTheme="minorHAnsi" w:cstheme="minorHAnsi"/>
          <w:i/>
          <w:iCs/>
          <w:sz w:val="22"/>
          <w:szCs w:val="22"/>
          <w14:ligatures w14:val="standardContextual"/>
        </w:rPr>
        <w:t>Tax Notes</w:t>
      </w:r>
      <w:r w:rsidRPr="00672214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. 103:5. May 3, 2004. 597-612. </w:t>
      </w:r>
      <w:hyperlink r:id="rId26" w:history="1">
        <w:r w:rsidRPr="00672214">
          <w:rPr>
            <w:rStyle w:val="Hyperlink"/>
            <w:rFonts w:asciiTheme="minorHAnsi" w:eastAsiaTheme="minorHAnsi" w:hAnsiTheme="minorHAnsi" w:cstheme="minorHAnsi"/>
            <w:sz w:val="22"/>
            <w:szCs w:val="22"/>
            <w14:ligatures w14:val="standardContextual"/>
          </w:rPr>
          <w:t>https://www.brookings.edu/wp-content/uploads/2016/06/20040503.pdf</w:t>
        </w:r>
      </w:hyperlink>
      <w:r w:rsidRPr="00672214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</w:t>
      </w:r>
    </w:p>
    <w:p w14:paraId="575B0A12" w14:textId="76A2F8FE" w:rsidR="00D05858" w:rsidRPr="00FD1EEF" w:rsidRDefault="00C321F6" w:rsidP="00672214">
      <w:pPr>
        <w:pStyle w:val="ListParagraph"/>
        <w:numPr>
          <w:ilvl w:val="0"/>
          <w:numId w:val="1"/>
        </w:numPr>
        <w:spacing w:after="220"/>
        <w:contextualSpacing w:val="0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  <w:r w:rsidRPr="00FD1EEF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J. Mark Iwry, </w:t>
      </w:r>
      <w:r w:rsidR="00D05858" w:rsidRPr="00FD1EEF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>“Expanding the Saver’s Credit,” Testimony Before the Subcommittee on Employer-Employee Relations of the Committee on Education and the Workforce, U.S. House of Representatives, July 1, 2003.</w:t>
      </w:r>
      <w:r w:rsidRPr="00FD1EEF"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  <w:t xml:space="preserve"> </w:t>
      </w:r>
      <w:hyperlink r:id="rId27" w:history="1">
        <w:r w:rsidR="00FD1EEF" w:rsidRPr="00FD1EEF">
          <w:rPr>
            <w:rStyle w:val="Hyperlink"/>
            <w:sz w:val="22"/>
            <w:szCs w:val="22"/>
          </w:rPr>
          <w:t>https://www.brookings.edu/wp-content/uploads/2016/06/20030630-1.pdf</w:t>
        </w:r>
      </w:hyperlink>
      <w:r w:rsidR="00FD1EEF" w:rsidRPr="00FD1EEF">
        <w:rPr>
          <w:sz w:val="22"/>
          <w:szCs w:val="22"/>
        </w:rPr>
        <w:t xml:space="preserve"> </w:t>
      </w:r>
    </w:p>
    <w:p w14:paraId="7A3A0148" w14:textId="77777777" w:rsidR="00D05858" w:rsidRPr="00672214" w:rsidRDefault="00D05858" w:rsidP="00672214">
      <w:pPr>
        <w:spacing w:after="220"/>
        <w:rPr>
          <w:rFonts w:asciiTheme="minorHAnsi" w:eastAsiaTheme="minorHAnsi" w:hAnsiTheme="minorHAnsi" w:cstheme="minorHAnsi"/>
          <w:sz w:val="22"/>
          <w:szCs w:val="22"/>
          <w14:ligatures w14:val="standardContextual"/>
        </w:rPr>
      </w:pPr>
    </w:p>
    <w:p w14:paraId="6AAF6696" w14:textId="77777777" w:rsidR="00672214" w:rsidRPr="00672214" w:rsidRDefault="00672214" w:rsidP="00672214">
      <w:pPr>
        <w:pStyle w:val="ListParagraph"/>
        <w:spacing w:after="220"/>
        <w:contextualSpacing w:val="0"/>
        <w:rPr>
          <w:rFonts w:asciiTheme="minorHAnsi" w:eastAsiaTheme="minorHAnsi" w:hAnsiTheme="minorHAnsi" w:cstheme="minorHAnsi"/>
          <w:sz w:val="22"/>
          <w:szCs w:val="22"/>
        </w:rPr>
      </w:pPr>
    </w:p>
    <w:p w14:paraId="08DB9352" w14:textId="77777777" w:rsidR="00672214" w:rsidRPr="00672214" w:rsidRDefault="00672214" w:rsidP="00672214">
      <w:pPr>
        <w:spacing w:after="220"/>
        <w:rPr>
          <w:rFonts w:asciiTheme="minorHAnsi" w:eastAsiaTheme="minorHAnsi" w:hAnsiTheme="minorHAnsi" w:cstheme="minorHAnsi"/>
          <w:sz w:val="22"/>
          <w:szCs w:val="22"/>
        </w:rPr>
      </w:pPr>
    </w:p>
    <w:p w14:paraId="5C571590" w14:textId="77777777" w:rsidR="00C96BAD" w:rsidRPr="00672214" w:rsidRDefault="00C96BAD" w:rsidP="003D5DBB">
      <w:pPr>
        <w:spacing w:after="160"/>
        <w:rPr>
          <w:rFonts w:asciiTheme="minorHAnsi" w:hAnsiTheme="minorHAnsi" w:cstheme="minorHAnsi"/>
          <w:sz w:val="22"/>
          <w:szCs w:val="22"/>
        </w:rPr>
      </w:pPr>
    </w:p>
    <w:sectPr w:rsidR="00C96BAD" w:rsidRPr="00672214" w:rsidSect="000E7B76">
      <w:footerReference w:type="default" r:id="rId2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32F4F" w14:textId="77777777" w:rsidR="00EA673F" w:rsidRDefault="00EA673F" w:rsidP="00EA673F">
      <w:r>
        <w:separator/>
      </w:r>
    </w:p>
  </w:endnote>
  <w:endnote w:type="continuationSeparator" w:id="0">
    <w:p w14:paraId="19D33B4F" w14:textId="77777777" w:rsidR="00EA673F" w:rsidRDefault="00EA673F" w:rsidP="00EA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65AB" w14:textId="77777777" w:rsidR="006427D0" w:rsidRPr="007E0449" w:rsidRDefault="006427D0" w:rsidP="006427D0">
    <w:pPr>
      <w:pStyle w:val="Footer"/>
      <w:rPr>
        <w:rFonts w:asciiTheme="minorHAnsi" w:hAnsiTheme="minorHAnsi" w:cstheme="minorHAnsi"/>
        <w:i/>
        <w:iCs/>
        <w:color w:val="000000"/>
      </w:rPr>
    </w:pPr>
    <w:r w:rsidRPr="007E0449">
      <w:rPr>
        <w:rFonts w:asciiTheme="minorHAnsi" w:hAnsiTheme="minorHAnsi" w:cstheme="minorHAnsi"/>
        <w:i/>
        <w:iCs/>
        <w:color w:val="000000"/>
      </w:rPr>
      <w:t>Prepared by Catherine Collinson, Transamerica Institute</w:t>
    </w:r>
  </w:p>
  <w:p w14:paraId="4E47413F" w14:textId="431141DE" w:rsidR="006427D0" w:rsidRDefault="006427D0" w:rsidP="006427D0">
    <w:pPr>
      <w:pStyle w:val="Footer"/>
      <w:tabs>
        <w:tab w:val="clear" w:pos="9360"/>
        <w:tab w:val="right" w:pos="9990"/>
      </w:tabs>
    </w:pPr>
    <w:r w:rsidRPr="007E0449">
      <w:rPr>
        <w:rFonts w:asciiTheme="minorHAnsi" w:hAnsiTheme="minorHAnsi" w:cstheme="minorHAnsi"/>
        <w:i/>
        <w:iCs/>
        <w:color w:val="000000"/>
      </w:rPr>
      <w:t>for the Saver’s Match Working Group</w:t>
    </w:r>
    <w:r w:rsidRPr="007E0449">
      <w:rPr>
        <w:rFonts w:asciiTheme="minorHAnsi" w:hAnsiTheme="minorHAnsi" w:cstheme="minorHAnsi"/>
        <w:i/>
        <w:iCs/>
        <w:color w:val="000000"/>
      </w:rPr>
      <w:tab/>
    </w:r>
    <w:r>
      <w:rPr>
        <w:rFonts w:asciiTheme="minorHAnsi" w:hAnsiTheme="minorHAnsi" w:cstheme="minorHAnsi"/>
        <w:color w:val="000000"/>
        <w:sz w:val="22"/>
        <w:szCs w:val="22"/>
      </w:rPr>
      <w:tab/>
      <w:t xml:space="preserve">Page </w:t>
    </w:r>
    <w:sdt>
      <w:sdtPr>
        <w:id w:val="-106263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55242" w14:textId="77777777" w:rsidR="00EA673F" w:rsidRDefault="00EA673F" w:rsidP="00EA673F">
      <w:r>
        <w:separator/>
      </w:r>
    </w:p>
  </w:footnote>
  <w:footnote w:type="continuationSeparator" w:id="0">
    <w:p w14:paraId="6765FED8" w14:textId="77777777" w:rsidR="00EA673F" w:rsidRDefault="00EA673F" w:rsidP="00EA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E47"/>
    <w:multiLevelType w:val="multilevel"/>
    <w:tmpl w:val="022E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C1E42"/>
    <w:multiLevelType w:val="multilevel"/>
    <w:tmpl w:val="194C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90C1B"/>
    <w:multiLevelType w:val="multilevel"/>
    <w:tmpl w:val="022E1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2C45F5"/>
    <w:multiLevelType w:val="hybridMultilevel"/>
    <w:tmpl w:val="893A1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EE10EC"/>
    <w:multiLevelType w:val="hybridMultilevel"/>
    <w:tmpl w:val="FCAAA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054681">
    <w:abstractNumId w:val="3"/>
  </w:num>
  <w:num w:numId="2" w16cid:durableId="538863073">
    <w:abstractNumId w:val="1"/>
  </w:num>
  <w:num w:numId="3" w16cid:durableId="1977443810">
    <w:abstractNumId w:val="4"/>
  </w:num>
  <w:num w:numId="4" w16cid:durableId="1645893874">
    <w:abstractNumId w:val="0"/>
  </w:num>
  <w:num w:numId="5" w16cid:durableId="2040470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46"/>
    <w:rsid w:val="000E7B76"/>
    <w:rsid w:val="00194A60"/>
    <w:rsid w:val="001C2836"/>
    <w:rsid w:val="00217108"/>
    <w:rsid w:val="00282B0E"/>
    <w:rsid w:val="00295B59"/>
    <w:rsid w:val="002A72C4"/>
    <w:rsid w:val="002F6611"/>
    <w:rsid w:val="0032408C"/>
    <w:rsid w:val="003D5DBB"/>
    <w:rsid w:val="00496CC7"/>
    <w:rsid w:val="004A0E1A"/>
    <w:rsid w:val="004B342E"/>
    <w:rsid w:val="00575A96"/>
    <w:rsid w:val="005D05A9"/>
    <w:rsid w:val="005E06B6"/>
    <w:rsid w:val="005E14D3"/>
    <w:rsid w:val="005E4AB3"/>
    <w:rsid w:val="006427D0"/>
    <w:rsid w:val="00672214"/>
    <w:rsid w:val="006961F7"/>
    <w:rsid w:val="0069689E"/>
    <w:rsid w:val="00706E1F"/>
    <w:rsid w:val="007141AD"/>
    <w:rsid w:val="0071525A"/>
    <w:rsid w:val="00734551"/>
    <w:rsid w:val="00784D92"/>
    <w:rsid w:val="007C58FB"/>
    <w:rsid w:val="007E0449"/>
    <w:rsid w:val="007F2E46"/>
    <w:rsid w:val="0080336F"/>
    <w:rsid w:val="00826714"/>
    <w:rsid w:val="008B04EF"/>
    <w:rsid w:val="008D4B4D"/>
    <w:rsid w:val="00976BDC"/>
    <w:rsid w:val="009B5A29"/>
    <w:rsid w:val="00B76F65"/>
    <w:rsid w:val="00C321F6"/>
    <w:rsid w:val="00C96BAD"/>
    <w:rsid w:val="00CC5CC6"/>
    <w:rsid w:val="00CF3480"/>
    <w:rsid w:val="00D05858"/>
    <w:rsid w:val="00D1085C"/>
    <w:rsid w:val="00D54F7C"/>
    <w:rsid w:val="00DE4580"/>
    <w:rsid w:val="00E12B6F"/>
    <w:rsid w:val="00E211E7"/>
    <w:rsid w:val="00E421D7"/>
    <w:rsid w:val="00E43C71"/>
    <w:rsid w:val="00EA673F"/>
    <w:rsid w:val="00ED3200"/>
    <w:rsid w:val="00F65B1D"/>
    <w:rsid w:val="00F668B3"/>
    <w:rsid w:val="00F821C8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365AC7"/>
  <w15:chartTrackingRefBased/>
  <w15:docId w15:val="{EB64E467-D74B-4D33-9F9D-01045F6D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4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E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7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67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7B76"/>
    <w:rPr>
      <w:color w:val="0070C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73F"/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6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73F"/>
    <w:rPr>
      <w:rFonts w:ascii="Calibri" w:eastAsia="Times New Roman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ningstar.com/business/insights/research/cfers-savers-match?utm_source=partners&amp;utm_medium=email&amp;utm_campaign=cfers-savers-match" TargetMode="External"/><Relationship Id="rId13" Type="http://schemas.openxmlformats.org/officeDocument/2006/relationships/hyperlink" Target="https://www.jct.gov/getattachment/90655774-4645-4790-9d20-4874ce634234/JCS-1-23.pdf" TargetMode="External"/><Relationship Id="rId18" Type="http://schemas.openxmlformats.org/officeDocument/2006/relationships/hyperlink" Target="https://cri.georgetown.edu/wp-content/uploads/2020/12/CRI-ESI-Report-Benefits_of_Universal_Access_FINAL.pdf" TargetMode="External"/><Relationship Id="rId26" Type="http://schemas.openxmlformats.org/officeDocument/2006/relationships/hyperlink" Target="https://www.brookings.edu/wp-content/uploads/2016/06/2004050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ml.berkeley.edu/~saez/duflo-gale-liebman-orszag-saezJEEA07savercredit.pdf" TargetMode="External"/><Relationship Id="rId7" Type="http://schemas.openxmlformats.org/officeDocument/2006/relationships/hyperlink" Target="https://www.morningstar.com/retirement/savers-match-could-be-game-changer-retirement-savingsespecially-black-women" TargetMode="External"/><Relationship Id="rId12" Type="http://schemas.openxmlformats.org/officeDocument/2006/relationships/hyperlink" Target="https://www.ebri.org/content/sizing-the-market-for-the-saver-s-match" TargetMode="External"/><Relationship Id="rId17" Type="http://schemas.openxmlformats.org/officeDocument/2006/relationships/hyperlink" Target="https://www.transamericainstitute.org/research/publications/details/the-savers-credit-a-tax-credit-that-pays-to-save-for-retirement" TargetMode="External"/><Relationship Id="rId25" Type="http://schemas.openxmlformats.org/officeDocument/2006/relationships/hyperlink" Target="https://www.brookings.edu/wp-content/uploads/2016/06/pb13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nsultsolutions.com/wp-content/uploads/2023/05/Impacts_of_Insufficient_Retirement_Savings_May2023.pdf" TargetMode="External"/><Relationship Id="rId20" Type="http://schemas.openxmlformats.org/officeDocument/2006/relationships/hyperlink" Target="https://crr.bc.edu/wp-content/uploads/2016/04/IB_16-7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nsamericainstitute.org/docs/default-source/research/employers-benefit-offerings/workplace-transformations-employer-business-practices-and-benefit-offerings-report-march-2024.pdf" TargetMode="External"/><Relationship Id="rId24" Type="http://schemas.openxmlformats.org/officeDocument/2006/relationships/hyperlink" Target="https://www.brookings.edu/wp-content/uploads/2016/06/20050310orsza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ransamericainstitute.org/docs/library/research/compendium-demographic-influences-retirement-security-research-report-december-2023.pdf?sfvrsn=92b27b9d_5" TargetMode="External"/><Relationship Id="rId23" Type="http://schemas.openxmlformats.org/officeDocument/2006/relationships/hyperlink" Target="https://www.brookings.edu/articles/effects-of-retirement-security-project-proposals-on-private-and-national-saving-exploratory-calculations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ewtrusts.org/en/research-and-analysis/fact-sheets/2024/04/federal-savers-match-could-benefit-millions-of-low-to-moderate-income-americans" TargetMode="External"/><Relationship Id="rId19" Type="http://schemas.openxmlformats.org/officeDocument/2006/relationships/hyperlink" Target="https://www.nirsonline.org/wp-content/uploads/2017/11/final_savers_credit_report_sept_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rch1.com/hubfs/Savers%20Match%20Survey%20Analysis/How_the_Savers_Match_Could_Promote_Financial_Inclusion_040824.pdf" TargetMode="External"/><Relationship Id="rId14" Type="http://schemas.openxmlformats.org/officeDocument/2006/relationships/hyperlink" Target="https://crsreports.congress.gov/product/pdf/IF/IF11159" TargetMode="External"/><Relationship Id="rId22" Type="http://schemas.openxmlformats.org/officeDocument/2006/relationships/hyperlink" Target="https://www.brookings.edu/articles/retirement-saving-for-middle-and-lower-income-households-the-pension-protection-act-of-2006-and-the-unfinished-agenda/" TargetMode="External"/><Relationship Id="rId27" Type="http://schemas.openxmlformats.org/officeDocument/2006/relationships/hyperlink" Target="https://www.brookings.edu/wp-content/uploads/2016/06/20030630-1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Collinson, Catherine</dc:creator>
  <cp:keywords/>
  <dc:description/>
  <cp:lastModifiedBy>Other</cp:lastModifiedBy>
  <cp:revision>2</cp:revision>
  <cp:lastPrinted>2024-06-07T16:58:00Z</cp:lastPrinted>
  <dcterms:created xsi:type="dcterms:W3CDTF">2024-11-01T17:00:00Z</dcterms:created>
  <dcterms:modified xsi:type="dcterms:W3CDTF">2024-11-01T17:00:00Z</dcterms:modified>
</cp:coreProperties>
</file>