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7F16F" w14:textId="77777777" w:rsidR="00C25C65" w:rsidRPr="00C25C65" w:rsidRDefault="00C25C65" w:rsidP="00C25C65">
      <w:pPr>
        <w:spacing w:after="0"/>
        <w:jc w:val="center"/>
        <w:rPr>
          <w:b/>
          <w:bCs/>
          <w:sz w:val="22"/>
          <w:szCs w:val="22"/>
        </w:rPr>
      </w:pPr>
      <w:r w:rsidRPr="00C25C65">
        <w:rPr>
          <w:b/>
          <w:bCs/>
          <w:sz w:val="22"/>
          <w:szCs w:val="22"/>
        </w:rPr>
        <w:t>Saver’s Match &amp; Saver’s Credit Bibliography</w:t>
      </w:r>
    </w:p>
    <w:p w14:paraId="358624AA" w14:textId="77777777" w:rsidR="00C25C65" w:rsidRPr="00C25C65" w:rsidRDefault="00C25C65" w:rsidP="00C25C65">
      <w:pPr>
        <w:spacing w:after="0"/>
        <w:jc w:val="center"/>
        <w:rPr>
          <w:b/>
          <w:bCs/>
          <w:sz w:val="22"/>
          <w:szCs w:val="22"/>
        </w:rPr>
      </w:pPr>
      <w:r w:rsidRPr="00C25C65">
        <w:rPr>
          <w:b/>
          <w:bCs/>
          <w:sz w:val="22"/>
          <w:szCs w:val="22"/>
        </w:rPr>
        <w:t>As of September 22, 2025</w:t>
      </w:r>
    </w:p>
    <w:p w14:paraId="7639529D" w14:textId="77777777" w:rsidR="00C25C65" w:rsidRPr="00C25C65" w:rsidRDefault="00C25C65" w:rsidP="00C25C65">
      <w:pPr>
        <w:rPr>
          <w:b/>
          <w:bCs/>
          <w:sz w:val="22"/>
          <w:szCs w:val="22"/>
        </w:rPr>
      </w:pPr>
    </w:p>
    <w:p w14:paraId="10234E78" w14:textId="77777777" w:rsidR="00C25C65" w:rsidRPr="00C25C65" w:rsidRDefault="00C25C65" w:rsidP="00C25C65">
      <w:pPr>
        <w:numPr>
          <w:ilvl w:val="0"/>
          <w:numId w:val="2"/>
        </w:numPr>
        <w:rPr>
          <w:sz w:val="22"/>
          <w:szCs w:val="22"/>
        </w:rPr>
      </w:pPr>
      <w:r w:rsidRPr="00C25C65">
        <w:rPr>
          <w:sz w:val="22"/>
          <w:szCs w:val="22"/>
        </w:rPr>
        <w:t xml:space="preserve">“Federal Saver’s Match, Coming in 2027, Could Boost Automated Retirement Savings Programs,” Pew Research Center, September 11, 2025, </w:t>
      </w:r>
      <w:hyperlink r:id="rId7" w:history="1">
        <w:r w:rsidRPr="00C25C65">
          <w:rPr>
            <w:rStyle w:val="Hyperlink"/>
            <w:sz w:val="22"/>
            <w:szCs w:val="22"/>
          </w:rPr>
          <w:t>https://www.pew.org/en/research-and-analysis/reports/2025/09/federal-savers-match-coming-in-2027-could-boost-automated-retirement-savings-programs</w:t>
        </w:r>
      </w:hyperlink>
      <w:r w:rsidRPr="00C25C65">
        <w:rPr>
          <w:sz w:val="22"/>
          <w:szCs w:val="22"/>
        </w:rPr>
        <w:t xml:space="preserve"> </w:t>
      </w:r>
    </w:p>
    <w:p w14:paraId="358607C5" w14:textId="77777777" w:rsidR="00C25C65" w:rsidRPr="00C25C65" w:rsidRDefault="00C25C65" w:rsidP="00C25C65">
      <w:pPr>
        <w:numPr>
          <w:ilvl w:val="0"/>
          <w:numId w:val="2"/>
        </w:numPr>
        <w:rPr>
          <w:sz w:val="22"/>
          <w:szCs w:val="22"/>
        </w:rPr>
      </w:pPr>
      <w:r w:rsidRPr="00C25C65">
        <w:rPr>
          <w:sz w:val="22"/>
          <w:szCs w:val="22"/>
        </w:rPr>
        <w:t xml:space="preserve">Brendan McDermott, “The Retirement Savings Contribution Credit and the Saver’s Match,” U.S. Congressional Research Service, updated September 4, 2025, </w:t>
      </w:r>
      <w:hyperlink r:id="rId8" w:history="1">
        <w:r w:rsidRPr="00C25C65">
          <w:rPr>
            <w:rStyle w:val="Hyperlink"/>
            <w:sz w:val="22"/>
            <w:szCs w:val="22"/>
          </w:rPr>
          <w:t>https://www.congress.gov/crs-product/IF11159</w:t>
        </w:r>
      </w:hyperlink>
      <w:r w:rsidRPr="00C25C65">
        <w:rPr>
          <w:sz w:val="22"/>
          <w:szCs w:val="22"/>
          <w:u w:val="single"/>
        </w:rPr>
        <w:t xml:space="preserve"> </w:t>
      </w:r>
    </w:p>
    <w:p w14:paraId="71E4D08D" w14:textId="77777777" w:rsidR="00C25C65" w:rsidRPr="00C25C65" w:rsidRDefault="00C25C65" w:rsidP="00C25C65">
      <w:pPr>
        <w:numPr>
          <w:ilvl w:val="0"/>
          <w:numId w:val="2"/>
        </w:numPr>
        <w:rPr>
          <w:sz w:val="22"/>
          <w:szCs w:val="22"/>
        </w:rPr>
      </w:pPr>
      <w:r w:rsidRPr="00C25C65">
        <w:rPr>
          <w:sz w:val="22"/>
          <w:szCs w:val="22"/>
        </w:rPr>
        <w:t xml:space="preserve">“Boosting Retirement Savings for Millions,” Your Guide to the Saver’s Match, Aspen Institute, 2025, </w:t>
      </w:r>
      <w:hyperlink r:id="rId9" w:history="1">
        <w:r w:rsidRPr="00C25C65">
          <w:rPr>
            <w:rStyle w:val="Hyperlink"/>
            <w:sz w:val="22"/>
            <w:szCs w:val="22"/>
          </w:rPr>
          <w:t>https://live-savers-match.pantheonsite.io/</w:t>
        </w:r>
      </w:hyperlink>
      <w:r w:rsidRPr="00C25C65">
        <w:rPr>
          <w:sz w:val="22"/>
          <w:szCs w:val="22"/>
        </w:rPr>
        <w:t xml:space="preserve"> </w:t>
      </w:r>
    </w:p>
    <w:p w14:paraId="7221B611" w14:textId="77777777" w:rsidR="00C25C65" w:rsidRPr="00C25C65" w:rsidRDefault="00C25C65" w:rsidP="00C25C65">
      <w:pPr>
        <w:numPr>
          <w:ilvl w:val="0"/>
          <w:numId w:val="2"/>
        </w:numPr>
        <w:rPr>
          <w:sz w:val="22"/>
          <w:szCs w:val="22"/>
        </w:rPr>
      </w:pPr>
      <w:r w:rsidRPr="00C25C65">
        <w:rPr>
          <w:sz w:val="22"/>
          <w:szCs w:val="22"/>
        </w:rPr>
        <w:t xml:space="preserve">“The Definitive Guide to the Saver’s Match,” Retirement Clearinghouse, 2025, </w:t>
      </w:r>
      <w:hyperlink r:id="rId10" w:history="1">
        <w:r w:rsidRPr="00C25C65">
          <w:rPr>
            <w:rStyle w:val="Hyperlink"/>
            <w:sz w:val="22"/>
            <w:szCs w:val="22"/>
          </w:rPr>
          <w:t>https://rch1.com/savers-match</w:t>
        </w:r>
      </w:hyperlink>
      <w:r w:rsidRPr="00C25C65">
        <w:rPr>
          <w:sz w:val="22"/>
          <w:szCs w:val="22"/>
        </w:rPr>
        <w:t xml:space="preserve"> </w:t>
      </w:r>
    </w:p>
    <w:p w14:paraId="1252AC54" w14:textId="77777777" w:rsidR="00C25C65" w:rsidRPr="00C25C65" w:rsidRDefault="00C25C65" w:rsidP="00C25C65">
      <w:pPr>
        <w:numPr>
          <w:ilvl w:val="0"/>
          <w:numId w:val="2"/>
        </w:numPr>
        <w:rPr>
          <w:sz w:val="22"/>
          <w:szCs w:val="22"/>
        </w:rPr>
      </w:pPr>
      <w:r w:rsidRPr="00C25C65">
        <w:rPr>
          <w:sz w:val="22"/>
          <w:szCs w:val="22"/>
        </w:rPr>
        <w:t xml:space="preserve">“Saver’s Match Estimator,” Retirement Clearinghouse, 2025, </w:t>
      </w:r>
      <w:hyperlink r:id="rId11" w:history="1">
        <w:r w:rsidRPr="00C25C65">
          <w:rPr>
            <w:rStyle w:val="Hyperlink"/>
            <w:sz w:val="22"/>
            <w:szCs w:val="22"/>
          </w:rPr>
          <w:t>https://rch1.com/savers-match-estimator</w:t>
        </w:r>
      </w:hyperlink>
      <w:r w:rsidRPr="00C25C65">
        <w:rPr>
          <w:sz w:val="22"/>
          <w:szCs w:val="22"/>
        </w:rPr>
        <w:t xml:space="preserve"> </w:t>
      </w:r>
    </w:p>
    <w:p w14:paraId="08A9D9A0" w14:textId="77777777" w:rsidR="00C25C65" w:rsidRPr="00C25C65" w:rsidRDefault="00C25C65" w:rsidP="00C25C65">
      <w:pPr>
        <w:numPr>
          <w:ilvl w:val="0"/>
          <w:numId w:val="2"/>
        </w:numPr>
        <w:rPr>
          <w:sz w:val="22"/>
          <w:szCs w:val="22"/>
        </w:rPr>
      </w:pPr>
      <w:r w:rsidRPr="00C25C65">
        <w:rPr>
          <w:sz w:val="22"/>
          <w:szCs w:val="22"/>
        </w:rPr>
        <w:t xml:space="preserve">“Saver’s Match Fact Sheet,” Bipartisan Policy Center and Brown School at Washington University, March 17, 2025, </w:t>
      </w:r>
      <w:hyperlink r:id="rId12" w:history="1">
        <w:r w:rsidRPr="00C25C65">
          <w:rPr>
            <w:rStyle w:val="Hyperlink"/>
            <w:sz w:val="22"/>
            <w:szCs w:val="22"/>
          </w:rPr>
          <w:t>https://bipartisanpolicy.org/download/?file=/wp-content/uploads/2025/03/Savers-Match-Fact-Sheet.pdf</w:t>
        </w:r>
      </w:hyperlink>
      <w:r w:rsidRPr="00C25C65">
        <w:rPr>
          <w:sz w:val="22"/>
          <w:szCs w:val="22"/>
        </w:rPr>
        <w:t xml:space="preserve"> </w:t>
      </w:r>
    </w:p>
    <w:p w14:paraId="770E910F" w14:textId="77777777" w:rsidR="00C25C65" w:rsidRPr="00C25C65" w:rsidRDefault="00C25C65" w:rsidP="00C25C65">
      <w:pPr>
        <w:numPr>
          <w:ilvl w:val="0"/>
          <w:numId w:val="2"/>
        </w:numPr>
        <w:rPr>
          <w:sz w:val="22"/>
          <w:szCs w:val="22"/>
        </w:rPr>
      </w:pPr>
      <w:r w:rsidRPr="00C25C65">
        <w:rPr>
          <w:sz w:val="22"/>
          <w:szCs w:val="22"/>
        </w:rPr>
        <w:t xml:space="preserve">Emerson Sprick, Mathieu Despard, Stephen Roll, “Moving Forward from SECURE 2.0: Building on the Law’s Most Effective Provisions, Closing the Access Gap, and Reforming Social Security,” Bipartisan Policy Center and Brown School at Washington University,” March 17, 2025, </w:t>
      </w:r>
      <w:hyperlink r:id="rId13" w:history="1">
        <w:r w:rsidRPr="00C25C65">
          <w:rPr>
            <w:rStyle w:val="Hyperlink"/>
            <w:sz w:val="22"/>
            <w:szCs w:val="22"/>
          </w:rPr>
          <w:t>https://bipartisanpolicy.org/report/moving-forward-from-secure-2/</w:t>
        </w:r>
      </w:hyperlink>
      <w:r w:rsidRPr="00C25C65">
        <w:rPr>
          <w:sz w:val="22"/>
          <w:szCs w:val="22"/>
        </w:rPr>
        <w:t xml:space="preserve"> </w:t>
      </w:r>
    </w:p>
    <w:p w14:paraId="04DFE6A9" w14:textId="77777777" w:rsidR="00C25C65" w:rsidRPr="00C25C65" w:rsidRDefault="00C25C65" w:rsidP="00C25C65">
      <w:pPr>
        <w:numPr>
          <w:ilvl w:val="0"/>
          <w:numId w:val="2"/>
        </w:numPr>
        <w:rPr>
          <w:sz w:val="22"/>
          <w:szCs w:val="22"/>
        </w:rPr>
      </w:pPr>
      <w:r w:rsidRPr="00C25C65">
        <w:rPr>
          <w:sz w:val="22"/>
          <w:szCs w:val="22"/>
        </w:rPr>
        <w:t xml:space="preserve">Brendan McDermott, “The Retirement Savings Contribution Credit and the Saver’s Match,” U.S. Congressional Research Service, Updated September 4, 2025, </w:t>
      </w:r>
      <w:hyperlink r:id="rId14" w:history="1">
        <w:r w:rsidRPr="00C25C65">
          <w:rPr>
            <w:rStyle w:val="Hyperlink"/>
            <w:sz w:val="22"/>
            <w:szCs w:val="22"/>
          </w:rPr>
          <w:t>https://www.congress.gov/crs-product/IF11159</w:t>
        </w:r>
      </w:hyperlink>
      <w:r w:rsidRPr="00C25C65">
        <w:rPr>
          <w:sz w:val="22"/>
          <w:szCs w:val="22"/>
        </w:rPr>
        <w:t xml:space="preserve"> </w:t>
      </w:r>
    </w:p>
    <w:p w14:paraId="1CA09EC3" w14:textId="77777777" w:rsidR="00C25C65" w:rsidRPr="00C25C65" w:rsidRDefault="00C25C65" w:rsidP="00C25C65">
      <w:pPr>
        <w:numPr>
          <w:ilvl w:val="0"/>
          <w:numId w:val="2"/>
        </w:numPr>
        <w:rPr>
          <w:sz w:val="22"/>
          <w:szCs w:val="22"/>
        </w:rPr>
      </w:pPr>
      <w:r w:rsidRPr="00C25C65">
        <w:rPr>
          <w:sz w:val="22"/>
          <w:szCs w:val="22"/>
        </w:rPr>
        <w:t xml:space="preserve">Saver’s Credit educational resources </w:t>
      </w:r>
      <w:hyperlink r:id="rId15" w:history="1">
        <w:r w:rsidRPr="00C25C65">
          <w:rPr>
            <w:rStyle w:val="Hyperlink"/>
            <w:sz w:val="22"/>
            <w:szCs w:val="22"/>
          </w:rPr>
          <w:t>https://www.transamericainstitute.org/resources/savers-credit-guide</w:t>
        </w:r>
      </w:hyperlink>
      <w:r w:rsidRPr="00C25C65">
        <w:rPr>
          <w:sz w:val="22"/>
          <w:szCs w:val="22"/>
        </w:rPr>
        <w:t xml:space="preserve">   and “Who is aware of the Saver’s Credit” infographic, Transamerica Center for Retirement Studies, updated in February 2025, </w:t>
      </w:r>
      <w:hyperlink r:id="rId16" w:history="1">
        <w:r w:rsidRPr="00C25C65">
          <w:rPr>
            <w:rStyle w:val="Hyperlink"/>
            <w:sz w:val="22"/>
            <w:szCs w:val="22"/>
          </w:rPr>
          <w:t>https://www.transamericainstitute.org/docs/saverscredit/who-is-aware-of-the-savers-credit-infographic.pdf</w:t>
        </w:r>
      </w:hyperlink>
      <w:r w:rsidRPr="00C25C65">
        <w:rPr>
          <w:sz w:val="22"/>
          <w:szCs w:val="22"/>
        </w:rPr>
        <w:t xml:space="preserve"> </w:t>
      </w:r>
    </w:p>
    <w:p w14:paraId="58F76F9D" w14:textId="77777777" w:rsidR="00C25C65" w:rsidRPr="00C25C65" w:rsidRDefault="00C25C65" w:rsidP="00C25C65">
      <w:pPr>
        <w:numPr>
          <w:ilvl w:val="0"/>
          <w:numId w:val="2"/>
        </w:numPr>
        <w:rPr>
          <w:sz w:val="22"/>
          <w:szCs w:val="22"/>
        </w:rPr>
      </w:pPr>
      <w:r w:rsidRPr="00C25C65">
        <w:rPr>
          <w:sz w:val="22"/>
          <w:szCs w:val="22"/>
        </w:rPr>
        <w:t xml:space="preserve">Spencer Look and Jack VanDerhei , “The Impact of the Saver’s Match on Retirement Wealth,” Morningstar, January 2025, </w:t>
      </w:r>
      <w:hyperlink r:id="rId17" w:history="1">
        <w:r w:rsidRPr="00C25C65">
          <w:rPr>
            <w:rStyle w:val="Hyperlink"/>
            <w:sz w:val="22"/>
            <w:szCs w:val="22"/>
          </w:rPr>
          <w:t>www.morningstar.com/content/cs-assets/v3/assets/blt9415ea4cc4157833/blt8e3e963c64eaeb6d/67979fc5284b0afcd79094d1/Impact_of_the_Savers_Match_on_Retirement_Wealth_Final.pdf</w:t>
        </w:r>
      </w:hyperlink>
      <w:r w:rsidRPr="00C25C65">
        <w:rPr>
          <w:sz w:val="22"/>
          <w:szCs w:val="22"/>
        </w:rPr>
        <w:t xml:space="preserve"> </w:t>
      </w:r>
    </w:p>
    <w:p w14:paraId="2781AC88" w14:textId="77777777" w:rsidR="00C25C65" w:rsidRPr="00C25C65" w:rsidRDefault="00C25C65" w:rsidP="00C25C65">
      <w:pPr>
        <w:numPr>
          <w:ilvl w:val="0"/>
          <w:numId w:val="2"/>
        </w:numPr>
        <w:rPr>
          <w:i/>
          <w:iCs/>
          <w:sz w:val="22"/>
          <w:szCs w:val="22"/>
        </w:rPr>
      </w:pPr>
      <w:r w:rsidRPr="00C25C65">
        <w:rPr>
          <w:sz w:val="22"/>
          <w:szCs w:val="22"/>
        </w:rPr>
        <w:t xml:space="preserve">IRS’ Request for Comments Regarding Implementation of Saver’s Match Contributions. The request published on September 5, 2024 along with all the comments submitted by the November 4, 2024 deadline can be found at </w:t>
      </w:r>
      <w:hyperlink r:id="rId18" w:history="1">
        <w:r w:rsidRPr="00C25C65">
          <w:rPr>
            <w:rStyle w:val="Hyperlink"/>
            <w:sz w:val="22"/>
            <w:szCs w:val="22"/>
          </w:rPr>
          <w:t>https://www.regulations.gov/document/IRS-2024-0034-0001</w:t>
        </w:r>
      </w:hyperlink>
      <w:r w:rsidRPr="00C25C65">
        <w:rPr>
          <w:sz w:val="22"/>
          <w:szCs w:val="22"/>
        </w:rPr>
        <w:t xml:space="preserve"> </w:t>
      </w:r>
    </w:p>
    <w:p w14:paraId="34C4B6B9" w14:textId="77777777" w:rsidR="00C25C65" w:rsidRPr="00C25C65" w:rsidRDefault="00C25C65" w:rsidP="00C25C65">
      <w:pPr>
        <w:numPr>
          <w:ilvl w:val="0"/>
          <w:numId w:val="2"/>
        </w:numPr>
        <w:rPr>
          <w:i/>
          <w:iCs/>
          <w:sz w:val="22"/>
          <w:szCs w:val="22"/>
        </w:rPr>
      </w:pPr>
      <w:r w:rsidRPr="00C25C65">
        <w:rPr>
          <w:sz w:val="22"/>
          <w:szCs w:val="22"/>
        </w:rPr>
        <w:lastRenderedPageBreak/>
        <w:t xml:space="preserve">Kara Woolley Watkins and Karen Biddle Andre, “The Saver’s Match Provision in SECURE 2.0: How We Can Put Thousands of Dollars into Retirement Savings Accounts for People with Low Income,” Aspen Institute Financial Security Program, October 2, 2024. </w:t>
      </w:r>
      <w:hyperlink r:id="rId19" w:history="1">
        <w:r w:rsidRPr="00C25C65">
          <w:rPr>
            <w:rStyle w:val="Hyperlink"/>
            <w:sz w:val="22"/>
            <w:szCs w:val="22"/>
          </w:rPr>
          <w:t>https://www.aspeninstitute.org/publications/the-savers-match-from-secure-2-0-the-opportunity-to-add-thousands-of-dollars-to-retirement-savings-accounts-for-people-with-low-income/</w:t>
        </w:r>
      </w:hyperlink>
      <w:r w:rsidRPr="00C25C65">
        <w:rPr>
          <w:sz w:val="22"/>
          <w:szCs w:val="22"/>
        </w:rPr>
        <w:t xml:space="preserve"> </w:t>
      </w:r>
    </w:p>
    <w:p w14:paraId="79A29E76" w14:textId="77777777" w:rsidR="00C25C65" w:rsidRPr="00C25C65" w:rsidRDefault="00C25C65" w:rsidP="00C25C65">
      <w:pPr>
        <w:numPr>
          <w:ilvl w:val="0"/>
          <w:numId w:val="2"/>
        </w:numPr>
        <w:rPr>
          <w:sz w:val="22"/>
          <w:szCs w:val="22"/>
        </w:rPr>
      </w:pPr>
      <w:r w:rsidRPr="00C25C65">
        <w:rPr>
          <w:sz w:val="22"/>
          <w:szCs w:val="22"/>
        </w:rPr>
        <w:t xml:space="preserve">Jack VanDerhei, “The Saver’s Match Could Be a Game Changer for Retirement Savings – Especially Black Women,” Morningstar, June 18, 2024, </w:t>
      </w:r>
      <w:hyperlink r:id="rId20" w:history="1">
        <w:r w:rsidRPr="00C25C65">
          <w:rPr>
            <w:rStyle w:val="Hyperlink"/>
            <w:sz w:val="22"/>
            <w:szCs w:val="22"/>
          </w:rPr>
          <w:t>https://www.morningstar.com/retirement/savers-match-could-be-game-changer-retirement-savingsespecially-black-women</w:t>
        </w:r>
      </w:hyperlink>
      <w:r w:rsidRPr="00C25C65">
        <w:rPr>
          <w:sz w:val="22"/>
          <w:szCs w:val="22"/>
        </w:rPr>
        <w:t xml:space="preserve"> </w:t>
      </w:r>
    </w:p>
    <w:p w14:paraId="6EA60B1A" w14:textId="77777777" w:rsidR="00C25C65" w:rsidRPr="00C25C65" w:rsidRDefault="00C25C65" w:rsidP="00C25C65">
      <w:pPr>
        <w:numPr>
          <w:ilvl w:val="0"/>
          <w:numId w:val="2"/>
        </w:numPr>
        <w:rPr>
          <w:sz w:val="22"/>
          <w:szCs w:val="22"/>
        </w:rPr>
      </w:pPr>
      <w:r w:rsidRPr="00C25C65">
        <w:rPr>
          <w:sz w:val="22"/>
          <w:szCs w:val="22"/>
        </w:rPr>
        <w:t>Jack VanDerhei,</w:t>
      </w:r>
      <w:r w:rsidRPr="00C25C65">
        <w:rPr>
          <w:b/>
          <w:bCs/>
          <w:sz w:val="22"/>
          <w:szCs w:val="22"/>
        </w:rPr>
        <w:t xml:space="preserve"> “</w:t>
      </w:r>
      <w:r w:rsidRPr="00C25C65">
        <w:rPr>
          <w:sz w:val="22"/>
          <w:szCs w:val="22"/>
        </w:rPr>
        <w:t xml:space="preserve">How Effective Might the Saver’s Match Be in Mitigating Race/Gender Disparities in 401(k) Plans,” Morningstar, DCIIA, Aspen Institute, Collaborative for Equitable Retirement Savings, May 2024, </w:t>
      </w:r>
      <w:hyperlink r:id="rId21" w:history="1">
        <w:r w:rsidRPr="00C25C65">
          <w:rPr>
            <w:rStyle w:val="Hyperlink"/>
            <w:sz w:val="22"/>
            <w:szCs w:val="22"/>
          </w:rPr>
          <w:t>https://www.morningstar.com/business/insights/research/cfers-savers-match?utm_source=partners&amp;utm_medium=email&amp;utm_campaign=cfers-savers-match</w:t>
        </w:r>
      </w:hyperlink>
      <w:r w:rsidRPr="00C25C65">
        <w:rPr>
          <w:sz w:val="22"/>
          <w:szCs w:val="22"/>
        </w:rPr>
        <w:t xml:space="preserve"> </w:t>
      </w:r>
    </w:p>
    <w:p w14:paraId="7304D68F" w14:textId="77777777" w:rsidR="00C25C65" w:rsidRPr="00C25C65" w:rsidRDefault="00C25C65" w:rsidP="00C25C65">
      <w:pPr>
        <w:numPr>
          <w:ilvl w:val="0"/>
          <w:numId w:val="1"/>
        </w:numPr>
        <w:rPr>
          <w:sz w:val="22"/>
          <w:szCs w:val="22"/>
        </w:rPr>
      </w:pPr>
      <w:r w:rsidRPr="00C25C65">
        <w:rPr>
          <w:sz w:val="22"/>
          <w:szCs w:val="22"/>
        </w:rPr>
        <w:t xml:space="preserve">Warren Cormier and Ricki Ingalls, “How the Saver's Match Could Promote Financial Inclusion: A Survey-Driven Analysis of the Saver’s Match Program,” Boston Research Technologies, Retirement Clearinghouse, April 2024, </w:t>
      </w:r>
      <w:hyperlink r:id="rId22" w:history="1">
        <w:r w:rsidRPr="00C25C65">
          <w:rPr>
            <w:rStyle w:val="Hyperlink"/>
            <w:sz w:val="22"/>
            <w:szCs w:val="22"/>
          </w:rPr>
          <w:t>https://mail.rch1.com/hubfs/Savers%20Match%20Survey%20Analysis/How_the_Savers_Match_Could_Promote_Financial_Inclusion_040824.pdf</w:t>
        </w:r>
      </w:hyperlink>
      <w:r w:rsidRPr="00C25C65">
        <w:rPr>
          <w:sz w:val="22"/>
          <w:szCs w:val="22"/>
        </w:rPr>
        <w:t xml:space="preserve"> </w:t>
      </w:r>
    </w:p>
    <w:p w14:paraId="1BA81E5E" w14:textId="77777777" w:rsidR="00C25C65" w:rsidRPr="00C25C65" w:rsidRDefault="00C25C65" w:rsidP="00C25C65">
      <w:pPr>
        <w:numPr>
          <w:ilvl w:val="0"/>
          <w:numId w:val="1"/>
        </w:numPr>
        <w:rPr>
          <w:sz w:val="22"/>
          <w:szCs w:val="22"/>
        </w:rPr>
      </w:pPr>
      <w:r w:rsidRPr="00C25C65">
        <w:rPr>
          <w:sz w:val="22"/>
          <w:szCs w:val="22"/>
        </w:rPr>
        <w:t xml:space="preserve">“The Saver’s Match Could Benefit Millions of Low- to Moderate-Income Americans,” Pew Research Center, April 12, 2024,  </w:t>
      </w:r>
      <w:hyperlink r:id="rId23" w:history="1">
        <w:r w:rsidRPr="00C25C65">
          <w:rPr>
            <w:rStyle w:val="Hyperlink"/>
            <w:sz w:val="22"/>
            <w:szCs w:val="22"/>
          </w:rPr>
          <w:t>https://www.pewtrusts.org/en/research-and-analysis/fact-sheets/2024/04/federal-savers-match-could-benefit-millions-of-low-to-moderate-income-americans</w:t>
        </w:r>
      </w:hyperlink>
      <w:r w:rsidRPr="00C25C65">
        <w:rPr>
          <w:sz w:val="22"/>
          <w:szCs w:val="22"/>
        </w:rPr>
        <w:t xml:space="preserve"> </w:t>
      </w:r>
    </w:p>
    <w:p w14:paraId="1BA1BDB7" w14:textId="77777777" w:rsidR="00C25C65" w:rsidRPr="00C25C65" w:rsidRDefault="00C25C65" w:rsidP="00C25C65">
      <w:pPr>
        <w:numPr>
          <w:ilvl w:val="0"/>
          <w:numId w:val="1"/>
        </w:numPr>
        <w:rPr>
          <w:sz w:val="22"/>
          <w:szCs w:val="22"/>
        </w:rPr>
      </w:pPr>
      <w:r w:rsidRPr="00C25C65">
        <w:rPr>
          <w:sz w:val="22"/>
          <w:szCs w:val="22"/>
        </w:rPr>
        <w:t xml:space="preserve">Catherine Collinson and Heidi Cho, “Workplace Transformations: Employer Business Practices and Benefit Offerings,” Transamerica Institute, March 2024, see page 76 </w:t>
      </w:r>
      <w:hyperlink r:id="rId24" w:history="1">
        <w:r w:rsidRPr="00C25C65">
          <w:rPr>
            <w:rStyle w:val="Hyperlink"/>
            <w:sz w:val="22"/>
            <w:szCs w:val="22"/>
          </w:rPr>
          <w:t>https://www.transamericainstitute.org/docs/default-source/research/employers-benefit-offerings/workplace-transformations-employer-business-practices-and-benefit-offerings-report-march-2024.pdf</w:t>
        </w:r>
      </w:hyperlink>
      <w:r w:rsidRPr="00C25C65">
        <w:rPr>
          <w:sz w:val="22"/>
          <w:szCs w:val="22"/>
        </w:rPr>
        <w:t xml:space="preserve"> </w:t>
      </w:r>
    </w:p>
    <w:p w14:paraId="26F7C67C" w14:textId="77777777" w:rsidR="00C25C65" w:rsidRPr="00C25C65" w:rsidRDefault="00C25C65" w:rsidP="00C25C65">
      <w:pPr>
        <w:numPr>
          <w:ilvl w:val="0"/>
          <w:numId w:val="1"/>
        </w:numPr>
        <w:rPr>
          <w:sz w:val="22"/>
          <w:szCs w:val="22"/>
        </w:rPr>
      </w:pPr>
      <w:r w:rsidRPr="00C25C65">
        <w:rPr>
          <w:sz w:val="22"/>
          <w:szCs w:val="22"/>
        </w:rPr>
        <w:t>Craig Copeland, “Sizing the Market for the Saver’s Match,” Employee Benefit Research Institute, Feb. 29, 2024, </w:t>
      </w:r>
      <w:hyperlink r:id="rId25" w:history="1">
        <w:r w:rsidRPr="00C25C65">
          <w:rPr>
            <w:rStyle w:val="Hyperlink"/>
            <w:sz w:val="22"/>
            <w:szCs w:val="22"/>
          </w:rPr>
          <w:t>https://www.ebri.org/content/sizing-the-market-for-the-saver-s-match</w:t>
        </w:r>
      </w:hyperlink>
    </w:p>
    <w:p w14:paraId="0A8654F2" w14:textId="77777777" w:rsidR="00C25C65" w:rsidRPr="00C25C65" w:rsidRDefault="00C25C65" w:rsidP="00C25C65">
      <w:pPr>
        <w:numPr>
          <w:ilvl w:val="0"/>
          <w:numId w:val="1"/>
        </w:numPr>
        <w:rPr>
          <w:sz w:val="22"/>
          <w:szCs w:val="22"/>
        </w:rPr>
      </w:pPr>
      <w:r w:rsidRPr="00C25C65">
        <w:rPr>
          <w:sz w:val="22"/>
          <w:szCs w:val="22"/>
        </w:rPr>
        <w:t>“General Explanation of Tax Legislation Enacted in the 117th Congress,” Joint Committee on Taxation, December 2023, see pages 301 to 309, </w:t>
      </w:r>
      <w:hyperlink r:id="rId26" w:history="1">
        <w:r w:rsidRPr="00C25C65">
          <w:rPr>
            <w:rStyle w:val="Hyperlink"/>
            <w:sz w:val="22"/>
            <w:szCs w:val="22"/>
          </w:rPr>
          <w:t>https://www.jct.gov/getattachment/90655774-4645-4790-9d20-4874ce634234/JCS-1-23.pdf</w:t>
        </w:r>
      </w:hyperlink>
      <w:r w:rsidRPr="00C25C65">
        <w:rPr>
          <w:sz w:val="22"/>
          <w:szCs w:val="22"/>
        </w:rPr>
        <w:t xml:space="preserve">  </w:t>
      </w:r>
    </w:p>
    <w:p w14:paraId="5E758FD8" w14:textId="77777777" w:rsidR="00C25C65" w:rsidRPr="00C25C65" w:rsidRDefault="00C25C65" w:rsidP="00C25C65">
      <w:pPr>
        <w:numPr>
          <w:ilvl w:val="0"/>
          <w:numId w:val="1"/>
        </w:numPr>
        <w:rPr>
          <w:sz w:val="22"/>
          <w:szCs w:val="22"/>
        </w:rPr>
      </w:pPr>
      <w:r w:rsidRPr="00C25C65">
        <w:rPr>
          <w:sz w:val="22"/>
          <w:szCs w:val="22"/>
        </w:rPr>
        <w:t xml:space="preserve">Brendan McDermott, “The Retirement Savings Contribution Credit and the Saver’s Match,” U.S. Congressional Research Service, Dec. 15, 2023, </w:t>
      </w:r>
      <w:hyperlink r:id="rId27" w:history="1">
        <w:r w:rsidRPr="00C25C65">
          <w:rPr>
            <w:rStyle w:val="Hyperlink"/>
            <w:sz w:val="22"/>
            <w:szCs w:val="22"/>
          </w:rPr>
          <w:t>https://crsreports.congress.gov/product/pdf/IF/IF11159</w:t>
        </w:r>
      </w:hyperlink>
      <w:r w:rsidRPr="00C25C65">
        <w:rPr>
          <w:sz w:val="22"/>
          <w:szCs w:val="22"/>
        </w:rPr>
        <w:t xml:space="preserve">  </w:t>
      </w:r>
    </w:p>
    <w:p w14:paraId="5F1C39B1" w14:textId="77777777" w:rsidR="00C25C65" w:rsidRPr="00C25C65" w:rsidRDefault="00C25C65" w:rsidP="00C25C65">
      <w:pPr>
        <w:numPr>
          <w:ilvl w:val="0"/>
          <w:numId w:val="1"/>
        </w:numPr>
        <w:rPr>
          <w:sz w:val="22"/>
          <w:szCs w:val="22"/>
        </w:rPr>
      </w:pPr>
      <w:r w:rsidRPr="00C25C65">
        <w:rPr>
          <w:sz w:val="22"/>
          <w:szCs w:val="22"/>
        </w:rPr>
        <w:t xml:space="preserve">“A Compendium of Demographic Influences on Retirement Security,” nonprofit Transamerica Center for Retirement Studies, December 2023, see pages 37, 68, 98, 129, 159, and 189,  </w:t>
      </w:r>
      <w:hyperlink r:id="rId28" w:history="1">
        <w:r w:rsidRPr="00C25C65">
          <w:rPr>
            <w:rStyle w:val="Hyperlink"/>
            <w:sz w:val="22"/>
            <w:szCs w:val="22"/>
          </w:rPr>
          <w:t>https://www.transamericainstitute.org/docs/library/research/compendium-demographic-influences-retirement-security-research-report-december-2023.pdf?sfvrsn=92b27b9d_5</w:t>
        </w:r>
      </w:hyperlink>
      <w:r w:rsidRPr="00C25C65">
        <w:rPr>
          <w:sz w:val="22"/>
          <w:szCs w:val="22"/>
        </w:rPr>
        <w:t xml:space="preserve"> </w:t>
      </w:r>
    </w:p>
    <w:p w14:paraId="58DE2E8A" w14:textId="77777777" w:rsidR="00C25C65" w:rsidRPr="00C25C65" w:rsidRDefault="00C25C65" w:rsidP="00C25C65">
      <w:pPr>
        <w:numPr>
          <w:ilvl w:val="0"/>
          <w:numId w:val="1"/>
        </w:numPr>
        <w:rPr>
          <w:sz w:val="22"/>
          <w:szCs w:val="22"/>
        </w:rPr>
      </w:pPr>
      <w:r w:rsidRPr="00C25C65">
        <w:rPr>
          <w:sz w:val="22"/>
          <w:szCs w:val="22"/>
        </w:rPr>
        <w:lastRenderedPageBreak/>
        <w:t xml:space="preserve">“The Cost of Doing Nothing: Federal and State Impacts of Insufficient Retirement Savings,” </w:t>
      </w:r>
      <w:proofErr w:type="spellStart"/>
      <w:r w:rsidRPr="00C25C65">
        <w:rPr>
          <w:sz w:val="22"/>
          <w:szCs w:val="22"/>
        </w:rPr>
        <w:t>Econsult</w:t>
      </w:r>
      <w:proofErr w:type="spellEnd"/>
      <w:r w:rsidRPr="00C25C65">
        <w:rPr>
          <w:sz w:val="22"/>
          <w:szCs w:val="22"/>
        </w:rPr>
        <w:t xml:space="preserve"> Solutions Inc. submitted to Pew Charitable Trusts, May 2023, </w:t>
      </w:r>
      <w:hyperlink r:id="rId29" w:history="1">
        <w:r w:rsidRPr="00C25C65">
          <w:rPr>
            <w:rStyle w:val="Hyperlink"/>
            <w:sz w:val="22"/>
            <w:szCs w:val="22"/>
          </w:rPr>
          <w:t>https://econsultsolutions.com/wp-content/uploads/2023/05/Impacts_of_Insufficient_Retirement_Savings_May2023.pdf</w:t>
        </w:r>
      </w:hyperlink>
      <w:r w:rsidRPr="00C25C65">
        <w:rPr>
          <w:sz w:val="22"/>
          <w:szCs w:val="22"/>
        </w:rPr>
        <w:t xml:space="preserve"> </w:t>
      </w:r>
    </w:p>
    <w:p w14:paraId="5EAC4BE8" w14:textId="77777777" w:rsidR="00C25C65" w:rsidRPr="00C25C65" w:rsidRDefault="00C25C65" w:rsidP="00C25C65">
      <w:pPr>
        <w:numPr>
          <w:ilvl w:val="0"/>
          <w:numId w:val="1"/>
        </w:numPr>
        <w:rPr>
          <w:sz w:val="22"/>
          <w:szCs w:val="22"/>
        </w:rPr>
      </w:pPr>
      <w:r w:rsidRPr="00C25C65">
        <w:rPr>
          <w:sz w:val="22"/>
          <w:szCs w:val="22"/>
        </w:rPr>
        <w:t xml:space="preserve">Catherine Collinson, “The Saver’s Credit: A Tax Credit That Pays to Save for Retirement,” Transamerica Center for Retirement Studies, May 2022, </w:t>
      </w:r>
      <w:hyperlink r:id="rId30" w:history="1">
        <w:r w:rsidRPr="00C25C65">
          <w:rPr>
            <w:rStyle w:val="Hyperlink"/>
            <w:sz w:val="22"/>
            <w:szCs w:val="22"/>
          </w:rPr>
          <w:t>https://www.transamericainstitute.org/research/publications/details/the-savers-credit-a-tax-credit-that-pays-to-save-for-retirement</w:t>
        </w:r>
      </w:hyperlink>
      <w:r w:rsidRPr="00C25C65">
        <w:rPr>
          <w:sz w:val="22"/>
          <w:szCs w:val="22"/>
        </w:rPr>
        <w:t xml:space="preserve"> </w:t>
      </w:r>
    </w:p>
    <w:p w14:paraId="12E8F314" w14:textId="77777777" w:rsidR="00C25C65" w:rsidRPr="00C25C65" w:rsidRDefault="00C25C65" w:rsidP="00C25C65">
      <w:pPr>
        <w:numPr>
          <w:ilvl w:val="0"/>
          <w:numId w:val="1"/>
        </w:numPr>
        <w:rPr>
          <w:sz w:val="22"/>
          <w:szCs w:val="22"/>
        </w:rPr>
      </w:pPr>
      <w:r w:rsidRPr="00C25C65">
        <w:rPr>
          <w:sz w:val="22"/>
          <w:szCs w:val="22"/>
        </w:rPr>
        <w:t xml:space="preserve">Angela M. Antonelli, “What are the Potential Benefits of Universal Access to Retirement Savings? An Analysis of National Options to Expand Coverage,” Georgetown University, Center for Retirement Initiatives in conjunction with </w:t>
      </w:r>
      <w:proofErr w:type="spellStart"/>
      <w:r w:rsidRPr="00C25C65">
        <w:rPr>
          <w:sz w:val="22"/>
          <w:szCs w:val="22"/>
        </w:rPr>
        <w:t>Econsult</w:t>
      </w:r>
      <w:proofErr w:type="spellEnd"/>
      <w:r w:rsidRPr="00C25C65">
        <w:rPr>
          <w:sz w:val="22"/>
          <w:szCs w:val="22"/>
        </w:rPr>
        <w:t xml:space="preserve"> Solutions Inc., Policy Report 2020-02, December 2020, </w:t>
      </w:r>
      <w:hyperlink r:id="rId31" w:history="1">
        <w:r w:rsidRPr="00C25C65">
          <w:rPr>
            <w:rStyle w:val="Hyperlink"/>
            <w:sz w:val="22"/>
            <w:szCs w:val="22"/>
          </w:rPr>
          <w:t>https://cri.georgetown.edu/wp-content/uploads/2020/12/CRI-ESI-Report-Benefits_of_Universal_Access_FINAL.pdf</w:t>
        </w:r>
      </w:hyperlink>
      <w:r w:rsidRPr="00C25C65">
        <w:rPr>
          <w:sz w:val="22"/>
          <w:szCs w:val="22"/>
        </w:rPr>
        <w:t xml:space="preserve"> </w:t>
      </w:r>
    </w:p>
    <w:p w14:paraId="0DC1FA0B" w14:textId="77777777" w:rsidR="00C25C65" w:rsidRPr="00C25C65" w:rsidRDefault="00C25C65" w:rsidP="00C25C65">
      <w:pPr>
        <w:numPr>
          <w:ilvl w:val="0"/>
          <w:numId w:val="1"/>
        </w:numPr>
        <w:rPr>
          <w:sz w:val="22"/>
          <w:szCs w:val="22"/>
        </w:rPr>
      </w:pPr>
      <w:r w:rsidRPr="00C25C65">
        <w:rPr>
          <w:sz w:val="22"/>
          <w:szCs w:val="22"/>
        </w:rPr>
        <w:t>Jennifer Erin Brown and David John, “Improving the Saver’s Credit for Low- and Moderate-Income Workers,”</w:t>
      </w:r>
      <w:r w:rsidRPr="00C25C65">
        <w:rPr>
          <w:b/>
          <w:bCs/>
          <w:sz w:val="22"/>
          <w:szCs w:val="22"/>
        </w:rPr>
        <w:t xml:space="preserve"> </w:t>
      </w:r>
      <w:r w:rsidRPr="00C25C65">
        <w:rPr>
          <w:sz w:val="22"/>
          <w:szCs w:val="22"/>
        </w:rPr>
        <w:t xml:space="preserve">National Institute for Retirement Security, September 2017. </w:t>
      </w:r>
      <w:hyperlink r:id="rId32" w:history="1">
        <w:r w:rsidRPr="00C25C65">
          <w:rPr>
            <w:rStyle w:val="Hyperlink"/>
            <w:sz w:val="22"/>
            <w:szCs w:val="22"/>
          </w:rPr>
          <w:t>https://www.nirsonline.org/wp-content/uploads/2017/11/final_savers_credit_report_sept_2017.pdf</w:t>
        </w:r>
      </w:hyperlink>
      <w:r w:rsidRPr="00C25C65">
        <w:rPr>
          <w:sz w:val="22"/>
          <w:szCs w:val="22"/>
        </w:rPr>
        <w:t xml:space="preserve"> </w:t>
      </w:r>
    </w:p>
    <w:p w14:paraId="65A23F2D" w14:textId="77777777" w:rsidR="00C25C65" w:rsidRPr="00C25C65" w:rsidRDefault="00C25C65" w:rsidP="00C25C65">
      <w:pPr>
        <w:numPr>
          <w:ilvl w:val="0"/>
          <w:numId w:val="1"/>
        </w:numPr>
        <w:rPr>
          <w:sz w:val="22"/>
          <w:szCs w:val="22"/>
        </w:rPr>
      </w:pPr>
      <w:r w:rsidRPr="00C25C65">
        <w:rPr>
          <w:sz w:val="22"/>
          <w:szCs w:val="22"/>
        </w:rPr>
        <w:t xml:space="preserve">Alicia H. Munnell and Anqi Chen, “Could the Saver’s Credit Enhance State Coverage Initiatives?,” Center for Retirement Research at Boston College, April 2016, </w:t>
      </w:r>
      <w:hyperlink r:id="rId33" w:history="1">
        <w:r w:rsidRPr="00C25C65">
          <w:rPr>
            <w:rStyle w:val="Hyperlink"/>
            <w:sz w:val="22"/>
            <w:szCs w:val="22"/>
          </w:rPr>
          <w:t>https://crr.bc.edu/wp-content/uploads/2016/04/IB_16-7.pdf</w:t>
        </w:r>
      </w:hyperlink>
      <w:r w:rsidRPr="00C25C65">
        <w:rPr>
          <w:sz w:val="22"/>
          <w:szCs w:val="22"/>
        </w:rPr>
        <w:t xml:space="preserve"> </w:t>
      </w:r>
    </w:p>
    <w:p w14:paraId="1C5E909E" w14:textId="77777777" w:rsidR="00C25C65" w:rsidRPr="00C25C65" w:rsidRDefault="00C25C65" w:rsidP="00C25C65">
      <w:pPr>
        <w:numPr>
          <w:ilvl w:val="0"/>
          <w:numId w:val="1"/>
        </w:numPr>
        <w:rPr>
          <w:sz w:val="22"/>
          <w:szCs w:val="22"/>
        </w:rPr>
      </w:pPr>
      <w:r w:rsidRPr="00C25C65">
        <w:rPr>
          <w:sz w:val="22"/>
          <w:szCs w:val="22"/>
        </w:rPr>
        <w:t xml:space="preserve">Esther Duflo, William G. Gale, Jeffrey Liebman, Peter R. Orszag, and Emmanuel Saez, “Savings Incentives for Low- and Moderate-Income Families in the United States: Why Is the Saver’s Credit Not More </w:t>
      </w:r>
      <w:proofErr w:type="gramStart"/>
      <w:r w:rsidRPr="00C25C65">
        <w:rPr>
          <w:sz w:val="22"/>
          <w:szCs w:val="22"/>
        </w:rPr>
        <w:t>Effective?,</w:t>
      </w:r>
      <w:proofErr w:type="gramEnd"/>
      <w:r w:rsidRPr="00C25C65">
        <w:rPr>
          <w:sz w:val="22"/>
          <w:szCs w:val="22"/>
        </w:rPr>
        <w:t xml:space="preserve">” </w:t>
      </w:r>
      <w:r w:rsidRPr="00C25C65">
        <w:rPr>
          <w:i/>
          <w:iCs/>
          <w:sz w:val="22"/>
          <w:szCs w:val="22"/>
        </w:rPr>
        <w:t>Journal of the European Economic Association</w:t>
      </w:r>
      <w:r w:rsidRPr="00C25C65">
        <w:rPr>
          <w:sz w:val="22"/>
          <w:szCs w:val="22"/>
        </w:rPr>
        <w:t xml:space="preserve">, April – May 2007. </w:t>
      </w:r>
      <w:hyperlink r:id="rId34" w:history="1">
        <w:r w:rsidRPr="00C25C65">
          <w:rPr>
            <w:rStyle w:val="Hyperlink"/>
            <w:sz w:val="22"/>
            <w:szCs w:val="22"/>
          </w:rPr>
          <w:t>https://eml.berkeley.edu/~saez/duflo-gale-liebman-orszag-saezJEEA07savercredit.pdf</w:t>
        </w:r>
      </w:hyperlink>
    </w:p>
    <w:p w14:paraId="72DECD1F" w14:textId="77777777" w:rsidR="00C25C65" w:rsidRPr="00C25C65" w:rsidRDefault="00C25C65" w:rsidP="00C25C65">
      <w:pPr>
        <w:numPr>
          <w:ilvl w:val="0"/>
          <w:numId w:val="1"/>
        </w:numPr>
        <w:rPr>
          <w:sz w:val="22"/>
          <w:szCs w:val="22"/>
        </w:rPr>
      </w:pPr>
      <w:r w:rsidRPr="00C25C65">
        <w:rPr>
          <w:sz w:val="22"/>
          <w:szCs w:val="22"/>
        </w:rPr>
        <w:t xml:space="preserve">William G. Gale, J. Mark Iwry, and Spencer Walters, “Retirement Saving for Middle-and Lower-Income Households: The Pension Protection Act of 2006 and the Unfinished Agenda,” Retirement Security Project, Policy Brief No. 2007-1. April 2007. </w:t>
      </w:r>
      <w:hyperlink r:id="rId35" w:history="1">
        <w:r w:rsidRPr="00C25C65">
          <w:rPr>
            <w:rStyle w:val="Hyperlink"/>
            <w:sz w:val="22"/>
            <w:szCs w:val="22"/>
          </w:rPr>
          <w:t>https://www.brookings.edu/articles/retirement-saving-for-middle-and-lower-income-households-the-pension-protection-act-of-2006-and-the-unfinished-agenda/</w:t>
        </w:r>
      </w:hyperlink>
      <w:r w:rsidRPr="00C25C65">
        <w:rPr>
          <w:sz w:val="22"/>
          <w:szCs w:val="22"/>
        </w:rPr>
        <w:t xml:space="preserve"> </w:t>
      </w:r>
    </w:p>
    <w:p w14:paraId="6870024A" w14:textId="77777777" w:rsidR="00C25C65" w:rsidRPr="00C25C65" w:rsidRDefault="00C25C65" w:rsidP="00C25C65">
      <w:pPr>
        <w:numPr>
          <w:ilvl w:val="0"/>
          <w:numId w:val="1"/>
        </w:numPr>
        <w:rPr>
          <w:sz w:val="22"/>
          <w:szCs w:val="22"/>
        </w:rPr>
      </w:pPr>
      <w:r w:rsidRPr="00C25C65">
        <w:rPr>
          <w:sz w:val="22"/>
          <w:szCs w:val="22"/>
        </w:rPr>
        <w:t xml:space="preserve">William G. Gale, J. Mark Iwry, Peter R. Orszag, “The Potential Effects of Retirement Security Project Proposals on Private and National Saving: Exploratory Calculations. Retirement Security Project Policy Brief No. 2006-2. Nov. 2006. </w:t>
      </w:r>
      <w:hyperlink r:id="rId36" w:history="1">
        <w:r w:rsidRPr="00C25C65">
          <w:rPr>
            <w:rStyle w:val="Hyperlink"/>
            <w:sz w:val="22"/>
            <w:szCs w:val="22"/>
          </w:rPr>
          <w:t>https://www.brookings.edu/articles/effects-of-retirement-security-project-proposals-on-private-and-national-saving-exploratory-calculations/</w:t>
        </w:r>
      </w:hyperlink>
      <w:r w:rsidRPr="00C25C65">
        <w:rPr>
          <w:sz w:val="22"/>
          <w:szCs w:val="22"/>
        </w:rPr>
        <w:t xml:space="preserve"> </w:t>
      </w:r>
    </w:p>
    <w:p w14:paraId="2C14BD9B" w14:textId="77777777" w:rsidR="00C25C65" w:rsidRPr="00C25C65" w:rsidRDefault="00C25C65" w:rsidP="00C25C65">
      <w:pPr>
        <w:numPr>
          <w:ilvl w:val="0"/>
          <w:numId w:val="1"/>
        </w:numPr>
        <w:rPr>
          <w:sz w:val="22"/>
          <w:szCs w:val="22"/>
        </w:rPr>
      </w:pPr>
      <w:r w:rsidRPr="00C25C65">
        <w:rPr>
          <w:sz w:val="22"/>
          <w:szCs w:val="22"/>
        </w:rPr>
        <w:t xml:space="preserve">J. Mark Iwry, Peter R. Orszag, and William G. Gale, “The Saver’s Credit: Expanding Retirement Savings for Middle and Lower Income Americans,” Retirement Security Project Policy Brief 2005-2.  March 2005. </w:t>
      </w:r>
      <w:hyperlink r:id="rId37" w:history="1">
        <w:r w:rsidRPr="00C25C65">
          <w:rPr>
            <w:rStyle w:val="Hyperlink"/>
            <w:sz w:val="22"/>
            <w:szCs w:val="22"/>
          </w:rPr>
          <w:t>https://www.brookings.edu/wp-content/uploads/2016/06/20050310orszag.pdf</w:t>
        </w:r>
      </w:hyperlink>
      <w:r w:rsidRPr="00C25C65">
        <w:rPr>
          <w:sz w:val="22"/>
          <w:szCs w:val="22"/>
        </w:rPr>
        <w:t xml:space="preserve"> </w:t>
      </w:r>
    </w:p>
    <w:p w14:paraId="32BAAC4A" w14:textId="77777777" w:rsidR="00C25C65" w:rsidRPr="00C25C65" w:rsidRDefault="00C25C65" w:rsidP="00C25C65">
      <w:pPr>
        <w:numPr>
          <w:ilvl w:val="0"/>
          <w:numId w:val="1"/>
        </w:numPr>
        <w:rPr>
          <w:sz w:val="22"/>
          <w:szCs w:val="22"/>
        </w:rPr>
      </w:pPr>
      <w:r w:rsidRPr="00C25C65">
        <w:rPr>
          <w:sz w:val="22"/>
          <w:szCs w:val="22"/>
        </w:rPr>
        <w:t xml:space="preserve">William G. Gale, J. Mark Iwry, and Peter R. Orszag, “Improving the Saver’s Credit: Issues and Options. The Brookings Institution, Policy Brief No. 135. July 2004.  </w:t>
      </w:r>
      <w:hyperlink r:id="rId38" w:history="1">
        <w:r w:rsidRPr="00C25C65">
          <w:rPr>
            <w:rStyle w:val="Hyperlink"/>
            <w:sz w:val="22"/>
            <w:szCs w:val="22"/>
          </w:rPr>
          <w:t>https://www.brookings.edu/wp-content/uploads/2016/06/pb135.pdf</w:t>
        </w:r>
      </w:hyperlink>
      <w:r w:rsidRPr="00C25C65">
        <w:rPr>
          <w:sz w:val="22"/>
          <w:szCs w:val="22"/>
        </w:rPr>
        <w:t xml:space="preserve"> </w:t>
      </w:r>
    </w:p>
    <w:p w14:paraId="3E706993" w14:textId="77777777" w:rsidR="00C25C65" w:rsidRPr="00C25C65" w:rsidRDefault="00C25C65" w:rsidP="00C25C65">
      <w:pPr>
        <w:numPr>
          <w:ilvl w:val="0"/>
          <w:numId w:val="1"/>
        </w:numPr>
        <w:rPr>
          <w:sz w:val="22"/>
          <w:szCs w:val="22"/>
        </w:rPr>
      </w:pPr>
      <w:r w:rsidRPr="00C25C65">
        <w:rPr>
          <w:sz w:val="22"/>
          <w:szCs w:val="22"/>
        </w:rPr>
        <w:lastRenderedPageBreak/>
        <w:t xml:space="preserve">William G. Gale, J. Mark Iwry, and Peter R. Orszag, “The Saver’s Credit: Issues and Options,” Tax Analysts, </w:t>
      </w:r>
      <w:r w:rsidRPr="00C25C65">
        <w:rPr>
          <w:i/>
          <w:iCs/>
          <w:sz w:val="22"/>
          <w:szCs w:val="22"/>
        </w:rPr>
        <w:t>Tax Notes</w:t>
      </w:r>
      <w:r w:rsidRPr="00C25C65">
        <w:rPr>
          <w:sz w:val="22"/>
          <w:szCs w:val="22"/>
        </w:rPr>
        <w:t xml:space="preserve">. 103:5. May 3, 2004. 597-612. </w:t>
      </w:r>
      <w:hyperlink r:id="rId39" w:history="1">
        <w:r w:rsidRPr="00C25C65">
          <w:rPr>
            <w:rStyle w:val="Hyperlink"/>
            <w:sz w:val="22"/>
            <w:szCs w:val="22"/>
          </w:rPr>
          <w:t>https://www.brookings.edu/wp-content/uploads/2016/06/20040503.pdf</w:t>
        </w:r>
      </w:hyperlink>
      <w:r w:rsidRPr="00C25C65">
        <w:rPr>
          <w:sz w:val="22"/>
          <w:szCs w:val="22"/>
        </w:rPr>
        <w:t xml:space="preserve"> </w:t>
      </w:r>
    </w:p>
    <w:p w14:paraId="5A77E998" w14:textId="137D7E0D" w:rsidR="00F65B1D" w:rsidRPr="00C25C65" w:rsidRDefault="00C25C65" w:rsidP="00C25C65">
      <w:pPr>
        <w:numPr>
          <w:ilvl w:val="0"/>
          <w:numId w:val="1"/>
        </w:numPr>
        <w:rPr>
          <w:sz w:val="22"/>
          <w:szCs w:val="22"/>
        </w:rPr>
      </w:pPr>
      <w:r w:rsidRPr="00C25C65">
        <w:rPr>
          <w:sz w:val="22"/>
          <w:szCs w:val="22"/>
        </w:rPr>
        <w:t xml:space="preserve">J. Mark Iwry, “Expanding the Saver’s Credit,” Testimony Before the Subcommittee on Employer-Employee Relations of the Committee on Education and the Workforce, U.S. House of Representatives, July 1, 2003. </w:t>
      </w:r>
      <w:hyperlink r:id="rId40" w:history="1">
        <w:r w:rsidRPr="00C25C65">
          <w:rPr>
            <w:rStyle w:val="Hyperlink"/>
            <w:sz w:val="22"/>
            <w:szCs w:val="22"/>
          </w:rPr>
          <w:t>https://www.brookings.edu/wp-content/uploads/2016/06/20030630-1.pdf</w:t>
        </w:r>
      </w:hyperlink>
      <w:r w:rsidRPr="00C25C65">
        <w:rPr>
          <w:sz w:val="22"/>
          <w:szCs w:val="22"/>
        </w:rPr>
        <w:t xml:space="preserve"> </w:t>
      </w:r>
    </w:p>
    <w:sectPr w:rsidR="00F65B1D" w:rsidRPr="00C25C65" w:rsidSect="00C25C65">
      <w:footerReference w:type="default" r:id="rId41"/>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45600" w14:textId="77777777" w:rsidR="00F75278" w:rsidRDefault="00F75278">
      <w:pPr>
        <w:spacing w:after="0" w:line="240" w:lineRule="auto"/>
      </w:pPr>
      <w:r>
        <w:separator/>
      </w:r>
    </w:p>
  </w:endnote>
  <w:endnote w:type="continuationSeparator" w:id="0">
    <w:p w14:paraId="70779A93" w14:textId="77777777" w:rsidR="00F75278" w:rsidRDefault="00F75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29EB" w14:textId="77777777" w:rsidR="00C25C65" w:rsidRPr="00B65986" w:rsidRDefault="00C25C65" w:rsidP="006427D0">
    <w:pPr>
      <w:pStyle w:val="Footer"/>
      <w:rPr>
        <w:rFonts w:ascii="Aptos" w:hAnsi="Aptos" w:cstheme="minorHAnsi"/>
        <w:i/>
        <w:iCs/>
        <w:color w:val="000000"/>
        <w:sz w:val="22"/>
        <w:szCs w:val="22"/>
      </w:rPr>
    </w:pPr>
    <w:r w:rsidRPr="00B65986">
      <w:rPr>
        <w:rFonts w:ascii="Aptos" w:hAnsi="Aptos" w:cstheme="minorHAnsi"/>
        <w:i/>
        <w:iCs/>
        <w:color w:val="000000"/>
        <w:sz w:val="22"/>
        <w:szCs w:val="22"/>
      </w:rPr>
      <w:t>Prepared by Catherine Collinson, Transamerica Institute</w:t>
    </w:r>
  </w:p>
  <w:p w14:paraId="6190F862" w14:textId="77777777" w:rsidR="00C25C65" w:rsidRPr="00B65986" w:rsidRDefault="00C25C65" w:rsidP="006427D0">
    <w:pPr>
      <w:pStyle w:val="Footer"/>
      <w:tabs>
        <w:tab w:val="clear" w:pos="9360"/>
        <w:tab w:val="right" w:pos="9990"/>
      </w:tabs>
      <w:rPr>
        <w:rFonts w:ascii="Aptos" w:hAnsi="Aptos"/>
        <w:sz w:val="22"/>
        <w:szCs w:val="22"/>
      </w:rPr>
    </w:pPr>
    <w:r w:rsidRPr="00B65986">
      <w:rPr>
        <w:rFonts w:ascii="Aptos" w:hAnsi="Aptos" w:cstheme="minorHAnsi"/>
        <w:i/>
        <w:iCs/>
        <w:color w:val="000000"/>
        <w:sz w:val="22"/>
        <w:szCs w:val="22"/>
      </w:rPr>
      <w:t>for the Saver’s Match Working Group</w:t>
    </w:r>
    <w:r w:rsidRPr="00B65986">
      <w:rPr>
        <w:rFonts w:ascii="Aptos" w:hAnsi="Aptos" w:cstheme="minorHAnsi"/>
        <w:i/>
        <w:iCs/>
        <w:color w:val="000000"/>
        <w:sz w:val="22"/>
        <w:szCs w:val="22"/>
      </w:rPr>
      <w:tab/>
    </w:r>
    <w:r w:rsidRPr="00B65986">
      <w:rPr>
        <w:rFonts w:ascii="Aptos" w:hAnsi="Aptos" w:cstheme="minorHAnsi"/>
        <w:color w:val="000000"/>
        <w:sz w:val="22"/>
        <w:szCs w:val="22"/>
      </w:rPr>
      <w:tab/>
      <w:t xml:space="preserve">Page </w:t>
    </w:r>
    <w:sdt>
      <w:sdtPr>
        <w:rPr>
          <w:rFonts w:ascii="Aptos" w:hAnsi="Aptos"/>
          <w:sz w:val="22"/>
          <w:szCs w:val="22"/>
        </w:rPr>
        <w:id w:val="-1062636369"/>
        <w:docPartObj>
          <w:docPartGallery w:val="Page Numbers (Bottom of Page)"/>
          <w:docPartUnique/>
        </w:docPartObj>
      </w:sdtPr>
      <w:sdtEndPr>
        <w:rPr>
          <w:noProof/>
        </w:rPr>
      </w:sdtEndPr>
      <w:sdtContent>
        <w:r w:rsidRPr="00B65986">
          <w:rPr>
            <w:rFonts w:ascii="Aptos" w:hAnsi="Aptos"/>
            <w:sz w:val="22"/>
            <w:szCs w:val="22"/>
          </w:rPr>
          <w:fldChar w:fldCharType="begin"/>
        </w:r>
        <w:r w:rsidRPr="00B65986">
          <w:rPr>
            <w:rFonts w:ascii="Aptos" w:hAnsi="Aptos"/>
            <w:sz w:val="22"/>
            <w:szCs w:val="22"/>
          </w:rPr>
          <w:instrText xml:space="preserve"> PAGE   \* MERGEFORMAT </w:instrText>
        </w:r>
        <w:r w:rsidRPr="00B65986">
          <w:rPr>
            <w:rFonts w:ascii="Aptos" w:hAnsi="Aptos"/>
            <w:sz w:val="22"/>
            <w:szCs w:val="22"/>
          </w:rPr>
          <w:fldChar w:fldCharType="separate"/>
        </w:r>
        <w:r w:rsidRPr="00B65986">
          <w:rPr>
            <w:rFonts w:ascii="Aptos" w:hAnsi="Aptos"/>
            <w:noProof/>
            <w:sz w:val="22"/>
            <w:szCs w:val="22"/>
          </w:rPr>
          <w:t>2</w:t>
        </w:r>
        <w:r w:rsidRPr="00B65986">
          <w:rPr>
            <w:rFonts w:ascii="Aptos" w:hAnsi="Aptos"/>
            <w:noProof/>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2C39C" w14:textId="77777777" w:rsidR="00F75278" w:rsidRDefault="00F75278">
      <w:pPr>
        <w:spacing w:after="0" w:line="240" w:lineRule="auto"/>
      </w:pPr>
      <w:r>
        <w:separator/>
      </w:r>
    </w:p>
  </w:footnote>
  <w:footnote w:type="continuationSeparator" w:id="0">
    <w:p w14:paraId="53F05694" w14:textId="77777777" w:rsidR="00F75278" w:rsidRDefault="00F75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C45F5"/>
    <w:multiLevelType w:val="hybridMultilevel"/>
    <w:tmpl w:val="893A1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2EE10EC"/>
    <w:multiLevelType w:val="hybridMultilevel"/>
    <w:tmpl w:val="FCAAA1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44054681">
    <w:abstractNumId w:val="0"/>
  </w:num>
  <w:num w:numId="2" w16cid:durableId="1977443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C65"/>
    <w:rsid w:val="0017557D"/>
    <w:rsid w:val="00394246"/>
    <w:rsid w:val="00527072"/>
    <w:rsid w:val="006D08C3"/>
    <w:rsid w:val="00C25C65"/>
    <w:rsid w:val="00C42022"/>
    <w:rsid w:val="00C570F4"/>
    <w:rsid w:val="00CB2C5D"/>
    <w:rsid w:val="00F65B1D"/>
    <w:rsid w:val="00F7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8F311"/>
  <w15:chartTrackingRefBased/>
  <w15:docId w15:val="{E193E4B0-DE13-49D0-8D2A-3A7532D9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C65"/>
    <w:pPr>
      <w:keepNext/>
      <w:keepLines/>
      <w:spacing w:before="360" w:after="80"/>
      <w:outlineLvl w:val="0"/>
    </w:pPr>
    <w:rPr>
      <w:rFonts w:asciiTheme="majorHAnsi" w:eastAsiaTheme="majorEastAsia" w:hAnsiTheme="majorHAnsi" w:cstheme="majorBidi"/>
      <w:color w:val="BF4C00" w:themeColor="accent1" w:themeShade="BF"/>
      <w:sz w:val="40"/>
      <w:szCs w:val="40"/>
    </w:rPr>
  </w:style>
  <w:style w:type="paragraph" w:styleId="Heading2">
    <w:name w:val="heading 2"/>
    <w:basedOn w:val="Normal"/>
    <w:next w:val="Normal"/>
    <w:link w:val="Heading2Char"/>
    <w:uiPriority w:val="9"/>
    <w:semiHidden/>
    <w:unhideWhenUsed/>
    <w:qFormat/>
    <w:rsid w:val="00C25C65"/>
    <w:pPr>
      <w:keepNext/>
      <w:keepLines/>
      <w:spacing w:before="160" w:after="80"/>
      <w:outlineLvl w:val="1"/>
    </w:pPr>
    <w:rPr>
      <w:rFonts w:asciiTheme="majorHAnsi" w:eastAsiaTheme="majorEastAsia" w:hAnsiTheme="majorHAnsi" w:cstheme="majorBidi"/>
      <w:color w:val="BF4C00" w:themeColor="accent1" w:themeShade="BF"/>
      <w:sz w:val="32"/>
      <w:szCs w:val="32"/>
    </w:rPr>
  </w:style>
  <w:style w:type="paragraph" w:styleId="Heading3">
    <w:name w:val="heading 3"/>
    <w:basedOn w:val="Normal"/>
    <w:next w:val="Normal"/>
    <w:link w:val="Heading3Char"/>
    <w:uiPriority w:val="9"/>
    <w:semiHidden/>
    <w:unhideWhenUsed/>
    <w:qFormat/>
    <w:rsid w:val="00C25C65"/>
    <w:pPr>
      <w:keepNext/>
      <w:keepLines/>
      <w:spacing w:before="160" w:after="80"/>
      <w:outlineLvl w:val="2"/>
    </w:pPr>
    <w:rPr>
      <w:rFonts w:eastAsiaTheme="majorEastAsia" w:cstheme="majorBidi"/>
      <w:color w:val="BF4C00" w:themeColor="accent1" w:themeShade="BF"/>
      <w:sz w:val="28"/>
      <w:szCs w:val="28"/>
    </w:rPr>
  </w:style>
  <w:style w:type="paragraph" w:styleId="Heading4">
    <w:name w:val="heading 4"/>
    <w:basedOn w:val="Normal"/>
    <w:next w:val="Normal"/>
    <w:link w:val="Heading4Char"/>
    <w:uiPriority w:val="9"/>
    <w:semiHidden/>
    <w:unhideWhenUsed/>
    <w:qFormat/>
    <w:rsid w:val="00C25C65"/>
    <w:pPr>
      <w:keepNext/>
      <w:keepLines/>
      <w:spacing w:before="80" w:after="40"/>
      <w:outlineLvl w:val="3"/>
    </w:pPr>
    <w:rPr>
      <w:rFonts w:eastAsiaTheme="majorEastAsia" w:cstheme="majorBidi"/>
      <w:i/>
      <w:iCs/>
      <w:color w:val="BF4C00" w:themeColor="accent1" w:themeShade="BF"/>
    </w:rPr>
  </w:style>
  <w:style w:type="paragraph" w:styleId="Heading5">
    <w:name w:val="heading 5"/>
    <w:basedOn w:val="Normal"/>
    <w:next w:val="Normal"/>
    <w:link w:val="Heading5Char"/>
    <w:uiPriority w:val="9"/>
    <w:semiHidden/>
    <w:unhideWhenUsed/>
    <w:qFormat/>
    <w:rsid w:val="00C25C65"/>
    <w:pPr>
      <w:keepNext/>
      <w:keepLines/>
      <w:spacing w:before="80" w:after="40"/>
      <w:outlineLvl w:val="4"/>
    </w:pPr>
    <w:rPr>
      <w:rFonts w:eastAsiaTheme="majorEastAsia" w:cstheme="majorBidi"/>
      <w:color w:val="BF4C00" w:themeColor="accent1" w:themeShade="BF"/>
    </w:rPr>
  </w:style>
  <w:style w:type="paragraph" w:styleId="Heading6">
    <w:name w:val="heading 6"/>
    <w:basedOn w:val="Normal"/>
    <w:next w:val="Normal"/>
    <w:link w:val="Heading6Char"/>
    <w:uiPriority w:val="9"/>
    <w:semiHidden/>
    <w:unhideWhenUsed/>
    <w:qFormat/>
    <w:rsid w:val="00C25C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C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C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C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C65"/>
    <w:rPr>
      <w:rFonts w:asciiTheme="majorHAnsi" w:eastAsiaTheme="majorEastAsia" w:hAnsiTheme="majorHAnsi" w:cstheme="majorBidi"/>
      <w:color w:val="BF4C00" w:themeColor="accent1" w:themeShade="BF"/>
      <w:sz w:val="40"/>
      <w:szCs w:val="40"/>
    </w:rPr>
  </w:style>
  <w:style w:type="character" w:customStyle="1" w:styleId="Heading2Char">
    <w:name w:val="Heading 2 Char"/>
    <w:basedOn w:val="DefaultParagraphFont"/>
    <w:link w:val="Heading2"/>
    <w:uiPriority w:val="9"/>
    <w:semiHidden/>
    <w:rsid w:val="00C25C65"/>
    <w:rPr>
      <w:rFonts w:asciiTheme="majorHAnsi" w:eastAsiaTheme="majorEastAsia" w:hAnsiTheme="majorHAnsi" w:cstheme="majorBidi"/>
      <w:color w:val="BF4C00" w:themeColor="accent1" w:themeShade="BF"/>
      <w:sz w:val="32"/>
      <w:szCs w:val="32"/>
    </w:rPr>
  </w:style>
  <w:style w:type="character" w:customStyle="1" w:styleId="Heading3Char">
    <w:name w:val="Heading 3 Char"/>
    <w:basedOn w:val="DefaultParagraphFont"/>
    <w:link w:val="Heading3"/>
    <w:uiPriority w:val="9"/>
    <w:semiHidden/>
    <w:rsid w:val="00C25C65"/>
    <w:rPr>
      <w:rFonts w:eastAsiaTheme="majorEastAsia" w:cstheme="majorBidi"/>
      <w:color w:val="BF4C00" w:themeColor="accent1" w:themeShade="BF"/>
      <w:sz w:val="28"/>
      <w:szCs w:val="28"/>
    </w:rPr>
  </w:style>
  <w:style w:type="character" w:customStyle="1" w:styleId="Heading4Char">
    <w:name w:val="Heading 4 Char"/>
    <w:basedOn w:val="DefaultParagraphFont"/>
    <w:link w:val="Heading4"/>
    <w:uiPriority w:val="9"/>
    <w:semiHidden/>
    <w:rsid w:val="00C25C65"/>
    <w:rPr>
      <w:rFonts w:eastAsiaTheme="majorEastAsia" w:cstheme="majorBidi"/>
      <w:i/>
      <w:iCs/>
      <w:color w:val="BF4C00" w:themeColor="accent1" w:themeShade="BF"/>
    </w:rPr>
  </w:style>
  <w:style w:type="character" w:customStyle="1" w:styleId="Heading5Char">
    <w:name w:val="Heading 5 Char"/>
    <w:basedOn w:val="DefaultParagraphFont"/>
    <w:link w:val="Heading5"/>
    <w:uiPriority w:val="9"/>
    <w:semiHidden/>
    <w:rsid w:val="00C25C65"/>
    <w:rPr>
      <w:rFonts w:eastAsiaTheme="majorEastAsia" w:cstheme="majorBidi"/>
      <w:color w:val="BF4C00" w:themeColor="accent1" w:themeShade="BF"/>
    </w:rPr>
  </w:style>
  <w:style w:type="character" w:customStyle="1" w:styleId="Heading6Char">
    <w:name w:val="Heading 6 Char"/>
    <w:basedOn w:val="DefaultParagraphFont"/>
    <w:link w:val="Heading6"/>
    <w:uiPriority w:val="9"/>
    <w:semiHidden/>
    <w:rsid w:val="00C25C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C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C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C65"/>
    <w:rPr>
      <w:rFonts w:eastAsiaTheme="majorEastAsia" w:cstheme="majorBidi"/>
      <w:color w:val="272727" w:themeColor="text1" w:themeTint="D8"/>
    </w:rPr>
  </w:style>
  <w:style w:type="paragraph" w:styleId="Title">
    <w:name w:val="Title"/>
    <w:basedOn w:val="Normal"/>
    <w:next w:val="Normal"/>
    <w:link w:val="TitleChar"/>
    <w:uiPriority w:val="10"/>
    <w:qFormat/>
    <w:rsid w:val="00C25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C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C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C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C65"/>
    <w:pPr>
      <w:spacing w:before="160"/>
      <w:jc w:val="center"/>
    </w:pPr>
    <w:rPr>
      <w:i/>
      <w:iCs/>
      <w:color w:val="404040" w:themeColor="text1" w:themeTint="BF"/>
    </w:rPr>
  </w:style>
  <w:style w:type="character" w:customStyle="1" w:styleId="QuoteChar">
    <w:name w:val="Quote Char"/>
    <w:basedOn w:val="DefaultParagraphFont"/>
    <w:link w:val="Quote"/>
    <w:uiPriority w:val="29"/>
    <w:rsid w:val="00C25C65"/>
    <w:rPr>
      <w:i/>
      <w:iCs/>
      <w:color w:val="404040" w:themeColor="text1" w:themeTint="BF"/>
    </w:rPr>
  </w:style>
  <w:style w:type="paragraph" w:styleId="ListParagraph">
    <w:name w:val="List Paragraph"/>
    <w:basedOn w:val="Normal"/>
    <w:uiPriority w:val="34"/>
    <w:qFormat/>
    <w:rsid w:val="00C25C65"/>
    <w:pPr>
      <w:ind w:left="720"/>
      <w:contextualSpacing/>
    </w:pPr>
  </w:style>
  <w:style w:type="character" w:styleId="IntenseEmphasis">
    <w:name w:val="Intense Emphasis"/>
    <w:basedOn w:val="DefaultParagraphFont"/>
    <w:uiPriority w:val="21"/>
    <w:qFormat/>
    <w:rsid w:val="00C25C65"/>
    <w:rPr>
      <w:i/>
      <w:iCs/>
      <w:color w:val="BF4C00" w:themeColor="accent1" w:themeShade="BF"/>
    </w:rPr>
  </w:style>
  <w:style w:type="paragraph" w:styleId="IntenseQuote">
    <w:name w:val="Intense Quote"/>
    <w:basedOn w:val="Normal"/>
    <w:next w:val="Normal"/>
    <w:link w:val="IntenseQuoteChar"/>
    <w:uiPriority w:val="30"/>
    <w:qFormat/>
    <w:rsid w:val="00C25C65"/>
    <w:pPr>
      <w:pBdr>
        <w:top w:val="single" w:sz="4" w:space="10" w:color="BF4C00" w:themeColor="accent1" w:themeShade="BF"/>
        <w:bottom w:val="single" w:sz="4" w:space="10" w:color="BF4C00" w:themeColor="accent1" w:themeShade="BF"/>
      </w:pBdr>
      <w:spacing w:before="360" w:after="360"/>
      <w:ind w:left="864" w:right="864"/>
      <w:jc w:val="center"/>
    </w:pPr>
    <w:rPr>
      <w:i/>
      <w:iCs/>
      <w:color w:val="BF4C00" w:themeColor="accent1" w:themeShade="BF"/>
    </w:rPr>
  </w:style>
  <w:style w:type="character" w:customStyle="1" w:styleId="IntenseQuoteChar">
    <w:name w:val="Intense Quote Char"/>
    <w:basedOn w:val="DefaultParagraphFont"/>
    <w:link w:val="IntenseQuote"/>
    <w:uiPriority w:val="30"/>
    <w:rsid w:val="00C25C65"/>
    <w:rPr>
      <w:i/>
      <w:iCs/>
      <w:color w:val="BF4C00" w:themeColor="accent1" w:themeShade="BF"/>
    </w:rPr>
  </w:style>
  <w:style w:type="character" w:styleId="IntenseReference">
    <w:name w:val="Intense Reference"/>
    <w:basedOn w:val="DefaultParagraphFont"/>
    <w:uiPriority w:val="32"/>
    <w:qFormat/>
    <w:rsid w:val="00C25C65"/>
    <w:rPr>
      <w:b/>
      <w:bCs/>
      <w:smallCaps/>
      <w:color w:val="BF4C00" w:themeColor="accent1" w:themeShade="BF"/>
      <w:spacing w:val="5"/>
    </w:rPr>
  </w:style>
  <w:style w:type="paragraph" w:styleId="Footer">
    <w:name w:val="footer"/>
    <w:basedOn w:val="Normal"/>
    <w:link w:val="FooterChar"/>
    <w:uiPriority w:val="99"/>
    <w:unhideWhenUsed/>
    <w:rsid w:val="00C25C65"/>
    <w:pPr>
      <w:tabs>
        <w:tab w:val="center" w:pos="4680"/>
        <w:tab w:val="right" w:pos="9360"/>
      </w:tabs>
      <w:spacing w:after="0" w:line="240" w:lineRule="auto"/>
    </w:pPr>
    <w:rPr>
      <w:rFonts w:ascii="Calibri" w:eastAsia="Times New Roman" w:hAnsi="Calibri" w:cs="Calibri"/>
      <w:kern w:val="0"/>
      <w:sz w:val="20"/>
      <w:szCs w:val="20"/>
      <w14:ligatures w14:val="none"/>
    </w:rPr>
  </w:style>
  <w:style w:type="character" w:customStyle="1" w:styleId="FooterChar">
    <w:name w:val="Footer Char"/>
    <w:basedOn w:val="DefaultParagraphFont"/>
    <w:link w:val="Footer"/>
    <w:uiPriority w:val="99"/>
    <w:rsid w:val="00C25C65"/>
    <w:rPr>
      <w:rFonts w:ascii="Calibri" w:eastAsia="Times New Roman" w:hAnsi="Calibri" w:cs="Calibri"/>
      <w:kern w:val="0"/>
      <w:sz w:val="20"/>
      <w:szCs w:val="20"/>
      <w14:ligatures w14:val="none"/>
    </w:rPr>
  </w:style>
  <w:style w:type="character" w:styleId="Hyperlink">
    <w:name w:val="Hyperlink"/>
    <w:basedOn w:val="DefaultParagraphFont"/>
    <w:uiPriority w:val="99"/>
    <w:unhideWhenUsed/>
    <w:rsid w:val="00C25C65"/>
    <w:rPr>
      <w:color w:val="0066CC" w:themeColor="hyperlink"/>
      <w:u w:val="single"/>
    </w:rPr>
  </w:style>
  <w:style w:type="character" w:styleId="UnresolvedMention">
    <w:name w:val="Unresolved Mention"/>
    <w:basedOn w:val="DefaultParagraphFont"/>
    <w:uiPriority w:val="99"/>
    <w:semiHidden/>
    <w:unhideWhenUsed/>
    <w:rsid w:val="00C25C65"/>
    <w:rPr>
      <w:color w:val="605E5C"/>
      <w:shd w:val="clear" w:color="auto" w:fill="E1DFDD"/>
    </w:rPr>
  </w:style>
  <w:style w:type="character" w:styleId="FollowedHyperlink">
    <w:name w:val="FollowedHyperlink"/>
    <w:basedOn w:val="DefaultParagraphFont"/>
    <w:uiPriority w:val="99"/>
    <w:semiHidden/>
    <w:unhideWhenUsed/>
    <w:rsid w:val="00C25C65"/>
    <w:rPr>
      <w:color w:val="0066C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ipartisanpolicy.org/report/moving-forward-from-secure-2/" TargetMode="External"/><Relationship Id="rId18" Type="http://schemas.openxmlformats.org/officeDocument/2006/relationships/hyperlink" Target="https://www.regulations.gov/document/IRS-2024-0034-0001" TargetMode="External"/><Relationship Id="rId26" Type="http://schemas.openxmlformats.org/officeDocument/2006/relationships/hyperlink" Target="https://www.jct.gov/getattachment/90655774-4645-4790-9d20-4874ce634234/JCS-1-23.pdf" TargetMode="External"/><Relationship Id="rId39" Type="http://schemas.openxmlformats.org/officeDocument/2006/relationships/hyperlink" Target="https://www.brookings.edu/wp-content/uploads/2016/06/20040503.pdf" TargetMode="External"/><Relationship Id="rId21" Type="http://schemas.openxmlformats.org/officeDocument/2006/relationships/hyperlink" Target="https://www.morningstar.com/business/insights/research/cfers-savers-match?utm_source=partners&amp;utm_medium=email&amp;utm_campaign=cfers-savers-match" TargetMode="External"/><Relationship Id="rId34" Type="http://schemas.openxmlformats.org/officeDocument/2006/relationships/hyperlink" Target="https://eml.berkeley.edu/~saez/duflo-gale-liebman-orszag-saezJEEA07savercredit.pdf" TargetMode="External"/><Relationship Id="rId42" Type="http://schemas.openxmlformats.org/officeDocument/2006/relationships/fontTable" Target="fontTable.xml"/><Relationship Id="rId7" Type="http://schemas.openxmlformats.org/officeDocument/2006/relationships/hyperlink" Target="https://www.pew.org/en/research-and-analysis/reports/2025/09/federal-savers-match-coming-in-2027-could-boost-automated-retirement-savings-programs" TargetMode="External"/><Relationship Id="rId2" Type="http://schemas.openxmlformats.org/officeDocument/2006/relationships/styles" Target="styles.xml"/><Relationship Id="rId16" Type="http://schemas.openxmlformats.org/officeDocument/2006/relationships/hyperlink" Target="https://www.transamericainstitute.org/docs/saverscredit/who-is-aware-of-the-savers-credit-infographic.pdf" TargetMode="External"/><Relationship Id="rId20" Type="http://schemas.openxmlformats.org/officeDocument/2006/relationships/hyperlink" Target="https://www.morningstar.com/retirement/savers-match-could-be-game-changer-retirement-savingsespecially-black-women" TargetMode="External"/><Relationship Id="rId29" Type="http://schemas.openxmlformats.org/officeDocument/2006/relationships/hyperlink" Target="https://econsultsolutions.com/wp-content/uploads/2023/05/Impacts_of_Insufficient_Retirement_Savings_May2023.pdf"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ch1.com/savers-match-estimator" TargetMode="External"/><Relationship Id="rId24" Type="http://schemas.openxmlformats.org/officeDocument/2006/relationships/hyperlink" Target="https://www.transamericainstitute.org/docs/default-source/research/employers-benefit-offerings/workplace-transformations-employer-business-practices-and-benefit-offerings-report-march-2024.pdf" TargetMode="External"/><Relationship Id="rId32" Type="http://schemas.openxmlformats.org/officeDocument/2006/relationships/hyperlink" Target="https://www.nirsonline.org/wp-content/uploads/2017/11/final_savers_credit_report_sept_2017.pdf" TargetMode="External"/><Relationship Id="rId37" Type="http://schemas.openxmlformats.org/officeDocument/2006/relationships/hyperlink" Target="https://www.brookings.edu/wp-content/uploads/2016/06/20050310orszag.pdf" TargetMode="External"/><Relationship Id="rId40" Type="http://schemas.openxmlformats.org/officeDocument/2006/relationships/hyperlink" Target="https://www.brookings.edu/wp-content/uploads/2016/06/20030630-1.pdf" TargetMode="External"/><Relationship Id="rId5" Type="http://schemas.openxmlformats.org/officeDocument/2006/relationships/footnotes" Target="footnotes.xml"/><Relationship Id="rId15" Type="http://schemas.openxmlformats.org/officeDocument/2006/relationships/hyperlink" Target="https://www.transamericainstitute.org/resources/savers-credit-guide" TargetMode="External"/><Relationship Id="rId23" Type="http://schemas.openxmlformats.org/officeDocument/2006/relationships/hyperlink" Target="https://www.pewtrusts.org/en/research-and-analysis/fact-sheets/2024/04/federal-savers-match-could-benefit-millions-of-low-to-moderate-income-americans" TargetMode="External"/><Relationship Id="rId28" Type="http://schemas.openxmlformats.org/officeDocument/2006/relationships/hyperlink" Target="https://www.transamericainstitute.org/docs/library/research/compendium-demographic-influences-retirement-security-research-report-december-2023.pdf?sfvrsn=92b27b9d_5" TargetMode="External"/><Relationship Id="rId36" Type="http://schemas.openxmlformats.org/officeDocument/2006/relationships/hyperlink" Target="https://www.brookings.edu/articles/effects-of-retirement-security-project-proposals-on-private-and-national-saving-exploratory-calculations/" TargetMode="External"/><Relationship Id="rId10" Type="http://schemas.openxmlformats.org/officeDocument/2006/relationships/hyperlink" Target="https://rch1.com/savers-match" TargetMode="External"/><Relationship Id="rId19" Type="http://schemas.openxmlformats.org/officeDocument/2006/relationships/hyperlink" Target="https://www.aspeninstitute.org/publications/the-savers-match-from-secure-2-0-the-opportunity-to-add-thousands-of-dollars-to-retirement-savings-accounts-for-people-with-low-income/" TargetMode="External"/><Relationship Id="rId31" Type="http://schemas.openxmlformats.org/officeDocument/2006/relationships/hyperlink" Target="https://cri.georgetown.edu/wp-content/uploads/2020/12/CRI-ESI-Report-Benefits_of_Universal_Access_FINAL.pdf" TargetMode="External"/><Relationship Id="rId4" Type="http://schemas.openxmlformats.org/officeDocument/2006/relationships/webSettings" Target="webSettings.xml"/><Relationship Id="rId9" Type="http://schemas.openxmlformats.org/officeDocument/2006/relationships/hyperlink" Target="https://live-savers-match.pantheonsite.io/" TargetMode="External"/><Relationship Id="rId14" Type="http://schemas.openxmlformats.org/officeDocument/2006/relationships/hyperlink" Target="https://www.congress.gov/crs-product/IF11159" TargetMode="External"/><Relationship Id="rId22" Type="http://schemas.openxmlformats.org/officeDocument/2006/relationships/hyperlink" Target="https://mail.rch1.com/hubfs/Savers%20Match%20Survey%20Analysis/How_the_Savers_Match_Could_Promote_Financial_Inclusion_040824.pdf" TargetMode="External"/><Relationship Id="rId27" Type="http://schemas.openxmlformats.org/officeDocument/2006/relationships/hyperlink" Target="https://crsreports.congress.gov/product/pdf/IF/IF11159" TargetMode="External"/><Relationship Id="rId30" Type="http://schemas.openxmlformats.org/officeDocument/2006/relationships/hyperlink" Target="https://www.transamericainstitute.org/research/publications/details/the-savers-credit-a-tax-credit-that-pays-to-save-for-retirement" TargetMode="External"/><Relationship Id="rId35" Type="http://schemas.openxmlformats.org/officeDocument/2006/relationships/hyperlink" Target="https://www.brookings.edu/articles/retirement-saving-for-middle-and-lower-income-households-the-pension-protection-act-of-2006-and-the-unfinished-agenda/" TargetMode="External"/><Relationship Id="rId43" Type="http://schemas.openxmlformats.org/officeDocument/2006/relationships/theme" Target="theme/theme1.xml"/><Relationship Id="rId8" Type="http://schemas.openxmlformats.org/officeDocument/2006/relationships/hyperlink" Target="https://www.congress.gov/crs-product/IF11159" TargetMode="External"/><Relationship Id="rId3" Type="http://schemas.openxmlformats.org/officeDocument/2006/relationships/settings" Target="settings.xml"/><Relationship Id="rId12" Type="http://schemas.openxmlformats.org/officeDocument/2006/relationships/hyperlink" Target="https://bipartisanpolicy.org/download/?file=/wp-content/uploads/2025/03/Savers-Match-Fact-Sheet.pdf" TargetMode="External"/><Relationship Id="rId17" Type="http://schemas.openxmlformats.org/officeDocument/2006/relationships/hyperlink" Target="http://www.morningstar.com/content/cs-assets/v3/assets/blt9415ea4cc4157833/blt8e3e963c64eaeb6d/67979fc5284b0afcd79094d1/Impact_of_the_Savers_Match_on_Retirement_Wealth_Final.pdf" TargetMode="External"/><Relationship Id="rId25" Type="http://schemas.openxmlformats.org/officeDocument/2006/relationships/hyperlink" Target="https://www.ebri.org/content/sizing-the-market-for-the-saver-s-match" TargetMode="External"/><Relationship Id="rId33" Type="http://schemas.openxmlformats.org/officeDocument/2006/relationships/hyperlink" Target="https://crr.bc.edu/wp-content/uploads/2016/04/IB_16-7.pdf" TargetMode="External"/><Relationship Id="rId38" Type="http://schemas.openxmlformats.org/officeDocument/2006/relationships/hyperlink" Target="https://www.brookings.edu/wp-content/uploads/2016/06/pb135.pdf" TargetMode="External"/></Relationships>
</file>

<file path=word/theme/theme1.xml><?xml version="1.0" encoding="utf-8"?>
<a:theme xmlns:a="http://schemas.openxmlformats.org/drawingml/2006/main" name="Office Theme">
  <a:themeElements>
    <a:clrScheme name="Test Pallete">
      <a:dk1>
        <a:srgbClr val="000000"/>
      </a:dk1>
      <a:lt1>
        <a:srgbClr val="FFFFFF"/>
      </a:lt1>
      <a:dk2>
        <a:srgbClr val="000000"/>
      </a:dk2>
      <a:lt2>
        <a:srgbClr val="82682C"/>
      </a:lt2>
      <a:accent1>
        <a:srgbClr val="FF6600"/>
      </a:accent1>
      <a:accent2>
        <a:srgbClr val="CC0000"/>
      </a:accent2>
      <a:accent3>
        <a:srgbClr val="0066CC"/>
      </a:accent3>
      <a:accent4>
        <a:srgbClr val="6600CC"/>
      </a:accent4>
      <a:accent5>
        <a:srgbClr val="008000"/>
      </a:accent5>
      <a:accent6>
        <a:srgbClr val="FFCC00"/>
      </a:accent6>
      <a:hlink>
        <a:srgbClr val="0066CC"/>
      </a:hlink>
      <a:folHlink>
        <a:srgbClr val="0066C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834</Words>
  <Characters>8206</Characters>
  <Application>Microsoft Office Word</Application>
  <DocSecurity>0</DocSecurity>
  <Lines>116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Collinson, Catherine</dc:creator>
  <cp:keywords/>
  <dc:description/>
  <cp:lastModifiedBy>Angela Antonelli</cp:lastModifiedBy>
  <cp:revision>2</cp:revision>
  <dcterms:created xsi:type="dcterms:W3CDTF">2026-03-12T20:37:00Z</dcterms:created>
  <dcterms:modified xsi:type="dcterms:W3CDTF">2026-03-12T20:37:00Z</dcterms:modified>
</cp:coreProperties>
</file>